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Dynatrace Lead role. My background aligns closely with enterprise observability, Dynatrace monitoring, dashboard standardization, alert calibration, operational readiness, and enablement across application and infrastructure teams.</w:t>
      </w:r>
    </w:p>
    <w:p>
      <w:r>
        <w:rPr>
          <w:rFonts w:ascii="Arial" w:hAnsi="Arial"/>
          <w:sz w:val="22"/>
        </w:rPr>
        <w:t>At G6 Hospitality, I managed Dynatrace AppMon and Synthetic Monitoring for Brand.com and other critical production systems. I implemented End-User Monitoring and transaction tracing across web and mobile platforms, and led a Dynatrace 6.5 to 7.0 upgrade with TLS 1.2 enforcement and zero production monitoring regression.</w:t>
      </w:r>
    </w:p>
    <w:p>
      <w:r>
        <w:rPr>
          <w:rFonts w:ascii="Arial" w:hAnsi="Arial"/>
          <w:sz w:val="22"/>
        </w:rPr>
        <w:t>At CITI, I supported observability and capacity monitoring across more than 6,000 endpoints using BMC TrueSight/TSCO, CA Wily, AppDynamics, and Python-based telemetry workflows. I integrated multiple monitoring feeds into unified reporting layers, developed dashboards and operational reports, and worked with infrastructure, application, and operations teams to improve monitoring visibility and reporting consistency.</w:t>
      </w:r>
    </w:p>
    <w:p>
      <w:r>
        <w:rPr>
          <w:rFonts w:ascii="Arial" w:hAnsi="Arial"/>
          <w:sz w:val="22"/>
        </w:rPr>
        <w:t>Earlier, as a CA APM SME for TIAA-CREF, I managed large enterprise APM environments with 50+ Enterprise Managers and 4,000–6,000 instrumented agents. I also led APM upgrade initiatives, created dashboards, alerts, and SLA thresholds, and produced documentation and knowledge transfer used by client teams. This experience maps well to a Dynatrace Lead role focused on observability governance, onboarding, dashboards, alerts, runbooks, and team enablement.</w:t>
      </w:r>
    </w:p>
    <w:p>
      <w:r>
        <w:rPr>
          <w:rFonts w:ascii="Arial" w:hAnsi="Arial"/>
          <w:sz w:val="22"/>
        </w:rPr>
        <w:t>I would welcome the opportunity to contribute my Dynatrace, APM, telemetry, and financial-services monitoring experience to your observability program.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