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AI Data Platform &amp;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strong hands-on background in Python, SQL, PySpark, ETL pipeline design, data quality, telemetry analytics, and governed data platforms. Built production-scale pipelines ingesting telemetry from 6,000+ endpoints, supported AWS data platforms using S3, Glue, Athena, Redshift, and Bedrock, and developed AI-enabled data workflows including RAG-style vector retrieval and agentic job-search automation. Brings practical experience in pipeline monitoring, performance optimization, access controls, encryption, compliance-minded data governance, and executive analytics.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endpoints, replacing manual processes with governed, repeatable data workflows for enterprise capacity analytics.</w:t>
      </w:r>
    </w:p>
    <w:p>
      <w:pPr>
        <w:pStyle w:val="ListBullet"/>
      </w:pPr>
      <w:r>
        <w:rPr>
          <w:rFonts w:ascii="Arial" w:hAnsi="Arial"/>
          <w:sz w:val="22"/>
        </w:rPr>
        <w:t>Built hybrid AWS and Oracle data platform patterns using S3 landing zones, AWS Glue ETL, Redshift workloads, and optimized Oracle schemas to support forecasting, reporting, and historical retention.</w:t>
      </w:r>
    </w:p>
    <w:p>
      <w:pPr>
        <w:pStyle w:val="ListBullet"/>
      </w:pPr>
      <w:r>
        <w:rPr>
          <w:rFonts w:ascii="Arial" w:hAnsi="Arial"/>
          <w:sz w:val="22"/>
        </w:rPr>
        <w:t>Implemented data quality, cleansing, validation, and reconciliation practices across telemetry pipelines to improve trust in executive dashboards and capacity planning outputs.</w:t>
      </w:r>
    </w:p>
    <w:p>
      <w:pPr>
        <w:pStyle w:val="ListBullet"/>
      </w:pPr>
      <w:r>
        <w:rPr>
          <w:rFonts w:ascii="Arial" w:hAnsi="Arial"/>
          <w:sz w:val="22"/>
        </w:rPr>
        <w:t>Developed ML forecasting pipelines with Prophet and scikit-learn to predict capacity bottlenecks six months ahead, improving provisioning lead time and infrastructure risk visibility.</w:t>
      </w:r>
    </w:p>
    <w:p>
      <w:pPr>
        <w:pStyle w:val="ListBullet"/>
      </w:pPr>
      <w:r>
        <w:rPr>
          <w:rFonts w:ascii="Arial" w:hAnsi="Arial"/>
          <w:sz w:val="22"/>
        </w:rPr>
        <w:t>Instrumented operational data flows with monitoring, alerting, dashboards, and performance analysis using BMC TrueSight, CA APM, AppDynamics, Python automation, and reporting layers.</w:t>
      </w:r>
    </w:p>
    <w:p>
      <w:pPr>
        <w:pStyle w:val="ListBullet"/>
      </w:pPr>
      <w:r>
        <w:rPr>
          <w:rFonts w:ascii="Arial" w:hAnsi="Arial"/>
          <w:sz w:val="22"/>
        </w:rPr>
        <w:t>Supported secure, compliance-aware data operations in a regulated banking environment, including access management, data governance, retention, and sensitive financial data handling.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reliability and performance visibility for revenue-facing applications.</w:t>
      </w:r>
    </w:p>
    <w:p>
      <w:pPr>
        <w:pStyle w:val="ListBullet"/>
      </w:pPr>
      <w:r>
        <w:rPr>
          <w:rFonts w:ascii="Arial" w:hAnsi="Arial"/>
          <w:sz w:val="22"/>
        </w:rPr>
        <w:t>Led the FAST project by data-mining real-user and synthetic performance telemetry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results with application telemetry, transaction traces, and infrastructure behavior.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TIAA-CREF, managing 50+ Enterprise Managers and 4,000–6,000 instrumented agents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SLA monitoring modules that became reusable operational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weekly export effort.</w:t>
      </w:r>
    </w:p>
    <w:p>
      <w:pPr>
        <w:pStyle w:val="ListBullet"/>
      </w:pPr>
      <w:r>
        <w:rPr>
          <w:rFonts w:ascii="Arial" w:hAnsi="Arial"/>
          <w:sz w:val="22"/>
        </w:rPr>
        <w:t>Partnered with J2EE and WebLogic teams to diagnose production bottlenecks using application telemetry, thread behavior, and monitoring data.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JDBC connection pressure, thread bottlenecks, heap behavior, CPU saturation, and GC patterns.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to improve visibility during performance test cycles.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handling transaction volume described as 10x VISA scale.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with C++ and OCCI,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testing framework to validate data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pipelines to protect data integrity during phased migration cutover.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mainframe modernization program.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messaging interfaces aligned to government system architecture standards.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 for telecom billing operations.</w:t>
      </w:r>
    </w:p>
    <w:p>
      <w:pPr>
        <w:pStyle w:val="ListBullet"/>
      </w:pPr>
      <w:r>
        <w:rPr>
          <w:rFonts w:ascii="Arial" w:hAnsi="Arial"/>
          <w:sz w:val="22"/>
        </w:rPr>
        <w:t>Delivered C/C++/Pro*C/PL/SQL performance improvements that reduced memory usage 75%, improved throughput 20%, and achieved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and enhanced AMDOCS billing, invoicing, settlement, EDI, reporting, and interface modules across full production support lifecycle.</w:t>
      </w:r>
    </w:p>
    <w:p>
      <w:pPr>
        <w:pStyle w:val="ListBullet"/>
      </w:pPr>
      <w:r>
        <w:rPr>
          <w:rFonts w:ascii="Arial" w:hAnsi="Arial"/>
          <w:sz w:val="22"/>
        </w:rPr>
        <w:t>Automated WebLogic and WebSphere administration with Korn Shell scripting, reducing manual deployment effort and improving operational consistency.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that uses semantic duplicate detection, LLM-powered job scoring, resume tailoring, cover letter generation, quality gates, and application tracking.</w:t>
        <w:br/>
        <w:t>The system uses FAISS vector embeddings and sentence-transformers for retrieval-style matching across job postings and Grok API calls for structured pipeline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Grok / xAI API, FAISS, Sentence Transformers, RAG / Vector Embeddings, Agentic AI Workflows, MCP,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Bedrock, and PySpark patterns to support governed enterprise data access, AI consumption, and Text-to-SQL GenAI workflows.</w:t>
        <w:br/>
        <w:t>Addressed small-file and columnar storage patterns with Parquet and Snappy concepts.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Bedrock, PySpark, Parquet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 to reduce manual forecasting cycles and surface capacity risks through interactive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