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AWS architecture, Generative AI systems, and software engineering. Proficient in designing and implementing production GenAI solutions, including Retrieval-Augmented Generation (RAG) pipelines and agent workflows using AWS Bedrock. Expert in building scalable data platforms and MLOps practices for regulated environments. Adept at navigating ambiguity to deliver impactful, compliance-focused solutions. Passionate about contributing to Slalom’s mission of driving innovation through cutting-edge GenAI compliance engines. Eager to leverage deep expertise in AWS and GenAI to architect transformative solutions in Dallas, TX.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 for regulated environments.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compliance reporting.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and applied statistical analysis to identify underutilized infrastructure, driving cost savings.</w:t>
      </w:r>
    </w:p>
    <w:p>
      <w:pPr>
        <w:pStyle w:val="ListBullet"/>
      </w:pPr>
      <w:r>
        <w:rPr>
          <w:rFonts w:ascii="Arial" w:hAnsi="Arial"/>
          <w:sz w:val="22"/>
        </w:rPr>
        <w:t>Collaborated on rightsizing resources based on data-driven projections in a regulated banking environment.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monitoring and optimization.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 with enhanced security (TLS1.2).</w:t>
      </w:r>
    </w:p>
    <w:p>
      <w:pPr>
        <w:pStyle w:val="ListBullet"/>
      </w:pPr>
      <w:r>
        <w:rPr>
          <w:rFonts w:ascii="Arial" w:hAnsi="Arial"/>
          <w:sz w:val="22"/>
        </w:rPr>
        <w:t>Designed dashboards for end-to-end functionality and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for critical systems.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in complex environments.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enhance system observability.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 and provided sizing recommendations for enterprise systems.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Provided client training and support for APM solutions, ensuring effective adoption.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scalability and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documenting key performance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to monitor system performance.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pPr>
        <w:pStyle w:val="ListBullet"/>
      </w:pPr>
      <w:r>
        <w:rPr>
          <w:rFonts w:ascii="Arial" w:hAnsi="Arial"/>
          <w:sz w:val="22"/>
        </w:rPr>
        <w:t>Identified resource bottlenecks in telecom web applications to optimize performance.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high-performance architecture for a system handling 10x VISA’s transaction throughput.</w:t>
      </w:r>
    </w:p>
    <w:p>
      <w:pPr>
        <w:pStyle w:val="ListBullet"/>
      </w:pPr>
      <w:r>
        <w:rPr>
          <w:rFonts w:ascii="Arial" w:hAnsi="Arial"/>
          <w:sz w:val="22"/>
        </w:rPr>
        <w:t>Collaborated with teams to refactor and optimize database architecture for scalability.</w:t>
      </w:r>
    </w:p>
    <w:p>
      <w:pPr>
        <w:pStyle w:val="ListBullet"/>
      </w:pPr>
      <w:r>
        <w:rPr>
          <w:rFonts w:ascii="Arial" w:hAnsi="Arial"/>
          <w:sz w:val="22"/>
        </w:rPr>
        <w:t>Documented migration processes and performance outcomes for future reference.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for a CICS/MQSeries/XML/DB2 system in a regulated environment.</w:t>
      </w:r>
    </w:p>
    <w:p>
      <w:pPr>
        <w:pStyle w:val="ListBullet"/>
      </w:pPr>
      <w:r>
        <w:rPr>
          <w:rFonts w:ascii="Arial" w:hAnsi="Arial"/>
          <w:sz w:val="22"/>
        </w:rPr>
        <w:t>Developed modules for IRS modernization, ensuring compliance with strict requirements.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using VC++ and DB2 for robust integration.</w:t>
      </w:r>
    </w:p>
    <w:p>
      <w:pPr>
        <w:pStyle w:val="ListBullet"/>
      </w:pPr>
      <w:r>
        <w:rPr>
          <w:rFonts w:ascii="Arial" w:hAnsi="Arial"/>
          <w:sz w:val="22"/>
        </w:rPr>
        <w:t>Collaborated with teams to align designs with project goals and standards.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Achieved 75% memory reduction and 20% throughput gain in billing systems through performance tuning.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with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using UML in Rational Rose for robust architecture.</w:t>
      </w:r>
    </w:p>
    <w:p>
      <w:pPr>
        <w:pStyle w:val="ListBullet"/>
      </w:pPr>
      <w:r>
        <w:rPr>
          <w:rFonts w:ascii="Arial" w:hAnsi="Arial"/>
          <w:sz w:val="22"/>
        </w:rPr>
        <w:t>Troubleshot and enhanced Enabler/CSM/EMS modules for production stability.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targeted fixes and optimizations.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Linux/Windows systems, ensuring lab functionality.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support lab operations and user needs.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AWS, GenAI / LLM Agents, Retrieval-Augmented Generation (RAG), MLOps, Software Engineering, Vector Databases, Python, PySpark, Prophet / Time-Series Forecasting, Pandas, scikit-learn, ETL Design &amp; Optimization, Data Warehousing, Streamlit, Agentic AI Workflows, Claude Code, Grok (xAI), MCP (Model Context Protocol), AI-Assisted Development, Google Gemini, Antigravity (AI Coding Assistant), SQL / Oracle, C++, Perl, Ksh / Korn Shell Scripting, Java, PL/SQL, Dynatrace (AppMon + Synthetics), CA APM / Introscope, BMC TrueSight / TSCO, Oracle RAC, Multiprocessing, Docker, Git, Airflow, Hive/Hadoop, Linux/Unix, OCCI / OCI, WebLogic / WebSphere, VB6 / VC++, Capacity Planning / Forecasting,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scoring, resume/cover letter generation, and application tracking.</w:t>
        <w:br/>
        <w:t>Implemented multi-step agentic workflows with Retrieval-Augmented Generation (RAG) techniques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an AI-driven capacity forecasting engine using Python and PySpark.</w:t>
        <w:br/>
        <w:t>Reduced forecasting cycles by 90% with Prophet and scikit-learn models predicting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Text-to-SQL GenAI agent with Claude 3 Sonnet for query generation.</w:t>
        <w:br/>
        <w:t>Resolved small file problem using Snappy and Parquet compression for enterprise-scale ETL optimization.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mined user performance metrics to optimize critical money-generating systems using Dynatrace.</w:t>
        <w:br/>
        <w:t>Provided actionable insights for system enhancements.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