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004A99"/>
          <w:sz w:val="56"/>
        </w:rPr>
        <w:t>SEAN LUKA GIRGIS</w:t>
      </w:r>
    </w:p>
    <w:p>
      <w:pPr>
        <w:jc w:val="center"/>
      </w:pPr>
      <w:r>
        <w:rPr>
          <w:color w:val="646464"/>
          <w:sz w:val="22"/>
        </w:rPr>
        <w:t>Senior Data Engineer | Capacity &amp; Infrastructure Optimization</w:t>
      </w:r>
    </w:p>
    <w:p>
      <w:pPr>
        <w:jc w:val="center"/>
      </w:pPr>
      <w:hyperlink r:id="rId9">
        <w:r>
          <w:rPr>
            <w:color w:val="333333"/>
          </w:rPr>
          <w:t>seanlgirgis.github.io</w:t>
        </w:r>
      </w:hyperlink>
      <w:r>
        <w:rPr>
          <w:sz w:val="20"/>
        </w:rPr>
        <w:t xml:space="preserve"> | </w:t>
      </w:r>
      <w:r>
        <w:rPr>
          <w:color w:val="333333"/>
          <w:sz w:val="20"/>
        </w:rPr>
        <w:t>214-315-2190</w:t>
      </w:r>
      <w:r>
        <w:rPr>
          <w:sz w:val="20"/>
        </w:rPr>
        <w:t xml:space="preserve"> | </w:t>
      </w:r>
      <w:hyperlink r:id="rId10">
        <w:r>
          <w:rPr>
            <w:color w:val="333333"/>
          </w:rPr>
          <w:t>seanlgirgis@gmail.com</w:t>
        </w:r>
      </w:hyperlink>
      <w:r>
        <w:rPr>
          <w:sz w:val="20"/>
        </w:rPr>
        <w:t xml:space="preserve"> | </w:t>
      </w:r>
      <w:hyperlink r:id="rId11">
        <w:r>
          <w:rPr>
            <w:color w:val="004a99"/>
          </w:rPr>
          <w:t>GitHub</w:t>
        </w:r>
      </w:hyperlink>
      <w:r>
        <w:rPr>
          <w:sz w:val="20"/>
        </w:rPr>
        <w:t xml:space="preserve"> | </w:t>
      </w:r>
      <w:hyperlink r:id="rId12">
        <w:r>
          <w:rPr>
            <w:color w:val="004a99"/>
          </w:rPr>
          <w:t>LinkedIn</w:t>
        </w:r>
      </w:hyperlink>
      <w:r>
        <w:rPr>
          <w:sz w:val="20"/>
        </w:rPr>
        <w:t xml:space="preserve"> | </w:t>
      </w:r>
      <w:hyperlink r:id="rId13">
        <w:r>
          <w:rPr>
            <w:color w:val="004a99"/>
          </w:rPr>
          <w:t>X / Twitter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800"/>
            <w:tcMar>
              <w:top w:w="220" w:type="dxa"/>
              <w:bottom w:w="220" w:type="dxa"/>
              <w:left w:w="220" w:type="dxa"/>
              <w:right w:w="220" w:type="dxa"/>
            </w:tcMar>
            <w:tcBorders>
              <w:left w:val="single" w:sz="64" w:space="0" w:color="E07000"/>
            </w:tcBorders>
          </w:tcPr>
          <w:p/>
          <w:p>
            <w:pPr>
              <w:pBdr>
                <w:bottom w:val="single" w:sz="6" w:space="1" w:color="EEEEEE"/>
              </w:pBdr>
              <w:spacing w:before="240" w:after="120"/>
            </w:pPr>
            <w:r>
              <w:rPr>
                <w:rFonts w:ascii="Segoe UI" w:hAnsi="Segoe UI"/>
                <w:b/>
                <w:color w:val="004A99"/>
                <w:sz w:val="32"/>
              </w:rPr>
              <w:t>Core Competencies &amp; Expertise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600"/>
              <w:gridCol w:w="3600"/>
              <w:gridCol w:w="3600"/>
            </w:tblGrid>
            <w:tr>
              <w:tc>
                <w:tcPr>
                  <w:tcW w:type="dxa" w:w="3600"/>
                </w:tcPr>
                <w:p>
                  <w:r>
                    <w:rPr>
                      <w:b/>
                      <w:color w:val="004A99"/>
                      <w:sz w:val="22"/>
                    </w:rPr>
                    <w:t>Data Engineering</w:t>
                  </w:r>
                </w:p>
                <w:p>
                  <w:pPr>
                    <w:pStyle w:val="ListBullet"/>
                  </w:pPr>
                  <w:r>
                    <w:rPr>
                      <w:rFonts w:ascii="Segoe UI" w:hAnsi="Segoe UI"/>
                      <w:color w:val="333333"/>
                      <w:sz w:val="22"/>
                    </w:rPr>
                    <w:t>Python (Pandas, Generators), SQL, PySpark, ETL Pipelines, Data Warehousing (Snowflake/Redshift).</w:t>
                  </w:r>
                </w:p>
              </w:tc>
              <w:tc>
                <w:tcPr>
                  <w:tcW w:type="dxa" w:w="3600"/>
                </w:tcPr>
                <w:p>
                  <w:r>
                    <w:rPr>
                      <w:b/>
                      <w:color w:val="004A99"/>
                      <w:sz w:val="22"/>
                    </w:rPr>
                    <w:t>Cloud &amp; Infrastructure</w:t>
                  </w:r>
                </w:p>
                <w:p>
                  <w:pPr>
                    <w:pStyle w:val="ListBullet"/>
                  </w:pPr>
                  <w:r>
                    <w:rPr>
                      <w:rFonts w:ascii="Segoe UI" w:hAnsi="Segoe UI"/>
                      <w:color w:val="333333"/>
                      <w:sz w:val="22"/>
                    </w:rPr>
                    <w:t>AWS (S3, Glue, Athena), Hive/Hadoop, Docker, Linux/Unix, Capacity Planning.</w:t>
                  </w:r>
                </w:p>
              </w:tc>
              <w:tc>
                <w:tcPr>
                  <w:tcW w:type="dxa" w:w="3600"/>
                </w:tcPr>
                <w:p>
                  <w:r>
                    <w:rPr>
                      <w:b/>
                      <w:color w:val="004A99"/>
                      <w:sz w:val="22"/>
                    </w:rPr>
                    <w:t>High-Performance Compute</w:t>
                  </w:r>
                </w:p>
                <w:p>
                  <w:pPr>
                    <w:pStyle w:val="ListBullet"/>
                  </w:pPr>
                  <w:r>
                    <w:rPr>
                      <w:rFonts w:ascii="Segoe UI" w:hAnsi="Segoe UI"/>
                      <w:color w:val="333333"/>
                      <w:sz w:val="22"/>
                    </w:rPr>
                    <w:t>C++, Java, Multiprocessing, Oracle RAC, Prop*C, OCCI, Low-Latency Systems.</w:t>
                  </w:r>
                </w:p>
              </w:tc>
            </w:tr>
          </w:tbl>
          <w:p/>
        </w:tc>
      </w:tr>
    </w:tbl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CITI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Nov 2017 – Dec 2025</w:t>
            </w:r>
          </w:p>
        </w:tc>
      </w:tr>
    </w:tbl>
    <w:p>
      <w:pPr>
        <w:spacing w:after="40"/>
      </w:pPr>
      <w:r>
        <w:rPr>
          <w:i/>
          <w:color w:val="666666"/>
        </w:rPr>
        <w:t>Senior Capacity &amp; Data Engineer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Automated ETL Pipelines:</w:t>
      </w:r>
      <w:r>
        <w:rPr>
          <w:rFonts w:ascii="Segoe UI" w:hAnsi="Segoe UI"/>
          <w:color w:val="333333"/>
          <w:sz w:val="22"/>
        </w:rPr>
        <w:t xml:space="preserve"> Architected ingestion pipelines using </w:t>
      </w:r>
      <w:r>
        <w:rPr>
          <w:rFonts w:ascii="Segoe UI" w:hAnsi="Segoe UI"/>
          <w:b/>
          <w:color w:val="333333"/>
          <w:sz w:val="22"/>
        </w:rPr>
        <w:t>Python</w:t>
      </w:r>
      <w:r>
        <w:rPr>
          <w:rFonts w:ascii="Segoe UI" w:hAnsi="Segoe UI"/>
          <w:color w:val="333333"/>
          <w:sz w:val="22"/>
        </w:rPr>
        <w:t xml:space="preserve"> and </w:t>
      </w:r>
      <w:r>
        <w:rPr>
          <w:rFonts w:ascii="Segoe UI" w:hAnsi="Segoe UI"/>
          <w:b/>
          <w:color w:val="333333"/>
          <w:sz w:val="22"/>
        </w:rPr>
        <w:t>Pandas</w:t>
      </w:r>
      <w:r>
        <w:rPr>
          <w:rFonts w:ascii="Segoe UI" w:hAnsi="Segoe UI"/>
          <w:color w:val="333333"/>
          <w:sz w:val="22"/>
        </w:rPr>
        <w:t xml:space="preserve"> for P95 performance telemetry from 6,000+ endpoints (</w:t>
      </w:r>
      <w:r>
        <w:rPr>
          <w:rFonts w:ascii="Segoe UI" w:hAnsi="Segoe UI"/>
          <w:b/>
          <w:color w:val="333333"/>
          <w:sz w:val="22"/>
        </w:rPr>
        <w:t>BMC TrueSight/TSCO</w:t>
      </w:r>
      <w:r>
        <w:rPr>
          <w:rFonts w:ascii="Segoe UI" w:hAnsi="Segoe UI"/>
          <w:color w:val="333333"/>
          <w:sz w:val="22"/>
        </w:rPr>
        <w:t>), replacing manual Trenda processes.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Data Strategy:</w:t>
      </w:r>
      <w:r>
        <w:rPr>
          <w:rFonts w:ascii="Segoe UI" w:hAnsi="Segoe UI"/>
          <w:color w:val="333333"/>
          <w:sz w:val="22"/>
        </w:rPr>
        <w:t xml:space="preserve"> Designed and optimized </w:t>
      </w:r>
      <w:r>
        <w:rPr>
          <w:rFonts w:ascii="Segoe UI" w:hAnsi="Segoe UI"/>
          <w:b/>
          <w:color w:val="333333"/>
          <w:sz w:val="22"/>
        </w:rPr>
        <w:t>Oracle Database</w:t>
      </w:r>
      <w:r>
        <w:rPr>
          <w:rFonts w:ascii="Segoe UI" w:hAnsi="Segoe UI"/>
          <w:color w:val="333333"/>
          <w:sz w:val="22"/>
        </w:rPr>
        <w:t xml:space="preserve"> schemas for historical data retention, enabling long-term trend analysis and seasonal risk forecasting.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Predictive Modeling:</w:t>
      </w:r>
      <w:r>
        <w:rPr>
          <w:rFonts w:ascii="Segoe UI" w:hAnsi="Segoe UI"/>
          <w:color w:val="333333"/>
          <w:sz w:val="22"/>
        </w:rPr>
        <w:t xml:space="preserve"> Developed </w:t>
      </w:r>
      <w:r>
        <w:rPr>
          <w:rFonts w:ascii="Segoe UI" w:hAnsi="Segoe UI"/>
          <w:b/>
          <w:color w:val="333333"/>
          <w:sz w:val="22"/>
        </w:rPr>
        <w:t>ML-driven forecasting models</w:t>
      </w:r>
      <w:r>
        <w:rPr>
          <w:rFonts w:ascii="Segoe UI" w:hAnsi="Segoe UI"/>
          <w:color w:val="333333"/>
          <w:sz w:val="22"/>
        </w:rPr>
        <w:t xml:space="preserve"> using Prophet and scikit-learn to predict infrastructure bottlenecks 6 months in advance.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Unified Reporting:</w:t>
      </w:r>
      <w:r>
        <w:rPr>
          <w:rFonts w:ascii="Segoe UI" w:hAnsi="Segoe UI"/>
          <w:color w:val="333333"/>
          <w:sz w:val="22"/>
        </w:rPr>
        <w:t xml:space="preserve"> Integrated disparate data feeds (CSV, Excel) into a unified </w:t>
      </w:r>
      <w:r>
        <w:rPr>
          <w:rFonts w:ascii="Segoe UI" w:hAnsi="Segoe UI"/>
          <w:b/>
          <w:color w:val="333333"/>
          <w:sz w:val="22"/>
        </w:rPr>
        <w:t>Oracle</w:t>
      </w:r>
      <w:r>
        <w:rPr>
          <w:rFonts w:ascii="Segoe UI" w:hAnsi="Segoe UI"/>
          <w:color w:val="333333"/>
          <w:sz w:val="22"/>
        </w:rPr>
        <w:t xml:space="preserve"> reporting framework, providing executive dashboards.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Cost Optimization:</w:t>
      </w:r>
      <w:r>
        <w:rPr>
          <w:rFonts w:ascii="Segoe UI" w:hAnsi="Segoe UI"/>
          <w:color w:val="333333"/>
          <w:sz w:val="22"/>
        </w:rPr>
        <w:t xml:space="preserve"> Identified underutilized patterns through data mining, leading to significant hardware consolidation.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G6 HOSPITALITY LLC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Mar 2017 – Nov 2017</w:t>
            </w:r>
          </w:p>
        </w:tc>
      </w:tr>
    </w:tbl>
    <w:p>
      <w:pPr>
        <w:spacing w:after="40"/>
      </w:pPr>
      <w:r>
        <w:rPr>
          <w:i/>
          <w:color w:val="666666"/>
        </w:rPr>
        <w:t>Performance Engineer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Managed end-to-end monitoring for Brand.com using Dynatrace AppMon and Synthetics.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Led the "FAST" project, data mining user performance metrics to optimize critical money-generating systems.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Supported cloud migration to AWS, evaluated mobile monitoring tools, and delivered before/after dashboards.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Optimized large-scale DynaTrace installations, resolving complex issues in high-stakes financial services environments.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HCL / ENTERGY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Jan 2017 – Mar 2017</w:t>
            </w:r>
          </w:p>
        </w:tc>
      </w:tr>
    </w:tbl>
    <w:p>
      <w:pPr>
        <w:spacing w:after="40"/>
      </w:pPr>
      <w:r>
        <w:rPr>
          <w:i/>
          <w:color w:val="666666"/>
        </w:rPr>
        <w:t>APM Consultant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Supported enterprise-wide CA APM, CEM, and ADA solutions for utility grid systems.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CA TECHNOLOGIES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Mar 2014 – Aug 2016</w:t>
            </w:r>
          </w:p>
        </w:tc>
      </w:tr>
    </w:tbl>
    <w:p>
      <w:pPr>
        <w:spacing w:after="40"/>
      </w:pPr>
      <w:r>
        <w:rPr>
          <w:i/>
          <w:color w:val="666666"/>
        </w:rPr>
        <w:t>Senior Consultant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Led enterprise CA APM implementations and upgrades (v9.1 → v10.1) for financial clients (4,000–6,000 agents).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Designed custom dashboards, alerts, reports, and Perl/Ksh data-extraction scripts to deliver actionable insights.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Provided architectural sizing recommendations and optimized agent/Enterprise Manager installations.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ENTERPRISE IRON (TIAA-CREF)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Aug 2011 – Dec 2013</w:t>
            </w:r>
          </w:p>
        </w:tc>
      </w:tr>
    </w:tbl>
    <w:p>
      <w:pPr>
        <w:spacing w:after="40"/>
      </w:pPr>
      <w:r>
        <w:rPr>
          <w:i/>
          <w:color w:val="666666"/>
        </w:rPr>
        <w:t>SME for CA APM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Served as CA APM SME for TIAA-CREF, managing 50+ Enterprise Managers and ~4,000–6,000 agents.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Designed and implemented custom Management Modules and Perl/Ksh data-extraction scripts.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Collaborated with IT teams to troubleshoot performance issues in J2EE/WebLogic environments.</w:t>
      </w:r>
    </w:p>
    <w:p>
      <w:pPr>
        <w:spacing w:after="120"/>
      </w:pPr>
    </w:p>
    <w:p>
      <w:pPr>
        <w:sectPr>
          <w:footerReference w:type="default" r:id="rId14"/>
          <w:pgSz w:w="12240" w:h="15840"/>
          <w:pgMar w:top="360" w:right="720" w:bottom="360" w:left="720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Segoe UI" w:hAnsi="Segoe UI"/>
          <w:b/>
          <w:color w:val="004A99"/>
          <w:sz w:val="5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AT&amp;T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Aug 2010 – Jul 2011</w:t>
            </w:r>
          </w:p>
        </w:tc>
      </w:tr>
    </w:tbl>
    <w:p>
      <w:pPr>
        <w:spacing w:after="40"/>
      </w:pPr>
      <w:r>
        <w:rPr>
          <w:i/>
          <w:color w:val="666666"/>
        </w:rPr>
        <w:t>Performance Test Engineer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Analyzed performance of J2EE telecom web applications to identify optimal loads and resource bottlenecks.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Documented key metrics (JDBC connections, threads, memory, CPU, GC) and installed JMX Monitoring.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SABRE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May 2008 – Jan 2010</w:t>
            </w:r>
          </w:p>
        </w:tc>
      </w:tr>
    </w:tbl>
    <w:p>
      <w:pPr>
        <w:spacing w:after="40"/>
      </w:pPr>
      <w:r>
        <w:rPr>
          <w:i/>
          <w:color w:val="666666"/>
        </w:rPr>
        <w:t>Senior Systems &amp; Data Migration Engineer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Massive-Scale Migration:</w:t>
      </w:r>
      <w:r>
        <w:rPr>
          <w:rFonts w:ascii="Segoe UI" w:hAnsi="Segoe UI"/>
          <w:color w:val="333333"/>
          <w:sz w:val="22"/>
        </w:rPr>
        <w:t xml:space="preserve"> Led the data migration of a shopping engine handling </w:t>
      </w:r>
      <w:r>
        <w:rPr>
          <w:rFonts w:ascii="Segoe UI" w:hAnsi="Segoe UI"/>
          <w:b/>
          <w:color w:val="333333"/>
          <w:sz w:val="22"/>
        </w:rPr>
        <w:t>10x the throughput of VISA</w:t>
      </w:r>
      <w:r>
        <w:rPr>
          <w:rFonts w:ascii="Segoe UI" w:hAnsi="Segoe UI"/>
          <w:color w:val="333333"/>
          <w:sz w:val="22"/>
        </w:rPr>
        <w:t>, refactoring 200+ MySQL nodes into a high-performance 6-node Oracle RAC cluster.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Latency Optimization:</w:t>
      </w:r>
      <w:r>
        <w:rPr>
          <w:rFonts w:ascii="Segoe UI" w:hAnsi="Segoe UI"/>
          <w:color w:val="333333"/>
          <w:sz w:val="22"/>
        </w:rPr>
        <w:t xml:space="preserve"> Optimized core transaction processing using </w:t>
      </w:r>
      <w:r>
        <w:rPr>
          <w:rFonts w:ascii="Segoe UI" w:hAnsi="Segoe UI"/>
          <w:b/>
          <w:color w:val="333333"/>
          <w:sz w:val="22"/>
        </w:rPr>
        <w:t>C++ and OCCI</w:t>
      </w:r>
      <w:r>
        <w:rPr>
          <w:rFonts w:ascii="Segoe UI" w:hAnsi="Segoe UI"/>
          <w:color w:val="333333"/>
          <w:sz w:val="22"/>
        </w:rPr>
        <w:t>, reducing physical hardware footprint by 95% while maintaining sub-second query latency.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Built testing framework using CPPUNIT in C++/OCCI/OCI environment.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Computer Science Corporation (CSC)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OCT 2007 – May 2008</w:t>
            </w:r>
          </w:p>
        </w:tc>
      </w:tr>
    </w:tbl>
    <w:p>
      <w:pPr>
        <w:spacing w:after="40"/>
      </w:pPr>
      <w:r>
        <w:rPr>
          <w:i/>
          <w:color w:val="666666"/>
        </w:rPr>
        <w:t>Architect/Developer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Performed UML-based unit design and developed modules for IRS modernization.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Worked on CICS/MQSeries/XML messaging architecture with VC++ and DB2.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Corpus Inc. (CenturyTel -AT&amp;T)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May 2005 – Oct 2007</w:t>
            </w:r>
          </w:p>
        </w:tc>
      </w:tr>
    </w:tbl>
    <w:p>
      <w:pPr>
        <w:spacing w:after="40"/>
      </w:pPr>
      <w:r>
        <w:rPr>
          <w:i/>
          <w:color w:val="666666"/>
        </w:rPr>
        <w:t>Developer / Support Engineer (AMDOCS billing)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Delivered performance enhancements in billing processes (C/C++/Pro*C/PL/SQL), reducing memory usage 75%.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Developed and troubleshot Flexible Bill Formatter, EDI interfaces, and Enabler modules.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Automated system administration (WebLogic/WebSphere) with Korn Shell scripts.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Sprint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2001 – 2005</w:t>
            </w:r>
          </w:p>
        </w:tc>
      </w:tr>
    </w:tbl>
    <w:p>
      <w:pPr>
        <w:spacing w:after="40"/>
      </w:pPr>
      <w:r>
        <w:rPr>
          <w:i/>
          <w:color w:val="666666"/>
        </w:rPr>
        <w:t>High Availability Interfaces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Developed high-availability multithreaded interfaces (C++/POSIX threads/sockets/IPC).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Improved DB performance 10x via PL/SQL optimizations during PRMS maintenance.</w:t>
      </w:r>
    </w:p>
    <w:p>
      <w:pPr>
        <w:spacing w:after="120"/>
      </w:pPr>
    </w:p>
    <w:p>
      <w:pPr>
        <w:sectPr>
          <w:footerReference w:type="default" r:id="rId15"/>
          <w:pgSz w:w="12240" w:h="15840"/>
          <w:pgMar w:top="360" w:right="720" w:bottom="360" w:left="720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Segoe UI" w:hAnsi="Segoe UI"/>
          <w:b/>
          <w:color w:val="004A99"/>
          <w:sz w:val="5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Simplex International - Canada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1999 – 2001</w:t>
            </w:r>
          </w:p>
        </w:tc>
      </w:tr>
    </w:tbl>
    <w:p>
      <w:pPr>
        <w:spacing w:after="40"/>
      </w:pPr>
      <w:r>
        <w:rPr>
          <w:i/>
          <w:color w:val="666666"/>
        </w:rPr>
        <w:t>Developer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Developed interfaces to the time and attendance system using VB6 and VC++.</w:t>
      </w:r>
    </w:p>
    <w:p>
      <w:pPr>
        <w:spacing w:after="12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Education &amp; Certifications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High Diploma: Computer Engineering Technology</w:t>
      </w:r>
      <w:r>
        <w:rPr>
          <w:rFonts w:ascii="Segoe UI" w:hAnsi="Segoe UI"/>
          <w:color w:val="333333"/>
          <w:sz w:val="22"/>
        </w:rPr>
        <w:t xml:space="preserve"> - Humber College, Canada</w:t>
      </w:r>
    </w:p>
    <w:p>
      <w:pPr>
        <w:pStyle w:val="ListBullet"/>
      </w:pPr>
      <w:r>
        <w:rPr>
          <w:rFonts w:ascii="Segoe UI" w:hAnsi="Segoe UI"/>
          <w:b/>
          <w:color w:val="333333"/>
          <w:sz w:val="22"/>
        </w:rPr>
        <w:t>Bachelor of Science: Civil Engineering</w:t>
      </w:r>
      <w:r>
        <w:rPr>
          <w:rFonts w:ascii="Segoe UI" w:hAnsi="Segoe UI"/>
          <w:color w:val="333333"/>
          <w:sz w:val="22"/>
        </w:rPr>
        <w:t xml:space="preserve"> - Zagazig University, Egypt</w:t>
      </w:r>
    </w:p>
    <w:p>
      <w:pPr>
        <w:spacing w:after="120"/>
      </w:pPr>
    </w:p>
    <w:sectPr w:rsidR="00FC693F" w:rsidRPr="0006063C" w:rsidSect="00034616">
      <w:footerReference w:type="default" r:id="rId16"/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66666"/>
        <w:sz w:val="16"/>
      </w:rPr>
      <w:t>Sean Luka Girgis - Curriculum Vitae</w:t>
    </w:r>
    <w:r>
      <w:rPr>
        <w:color w:val="666666"/>
        <w:sz w:val="16"/>
      </w:rPr>
      <w:t xml:space="preserve"> | </w:t>
    </w:r>
    <w:r>
      <w:rPr>
        <w:color w:val="666666"/>
        <w:sz w:val="16"/>
      </w:rPr>
      <w:t xml:space="preserve">Page </w:t>
    </w:r>
    <w:r>
      <w:fldChar w:fldCharType="begin"/>
      <w:instrText xml:space="preserve">PAGE</w:instrText>
      <w:fldChar w:fldCharType="end"/>
    </w:r>
    <w:r>
      <w:rPr>
        <w:color w:val="666666"/>
        <w:sz w:val="16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66666"/>
        <w:sz w:val="16"/>
      </w:rPr>
      <w:t>Sean Luka Girgis - Curriculum Vitae</w:t>
    </w:r>
    <w:r>
      <w:rPr>
        <w:color w:val="666666"/>
        <w:sz w:val="16"/>
      </w:rPr>
      <w:t xml:space="preserve"> | </w:t>
    </w:r>
    <w:r>
      <w:rPr>
        <w:color w:val="666666"/>
        <w:sz w:val="16"/>
      </w:rPr>
      <w:t xml:space="preserve">Page </w:t>
    </w:r>
    <w:r>
      <w:fldChar w:fldCharType="begin"/>
      <w:instrText xml:space="preserve">PAGE</w:instrText>
      <w:fldChar w:fldCharType="end"/>
    </w:r>
    <w:r>
      <w:rPr>
        <w:color w:val="666666"/>
        <w:sz w:val="16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66666"/>
        <w:sz w:val="16"/>
      </w:rPr>
      <w:t>Sean Luka Girgis - Curriculum Vitae</w:t>
    </w:r>
    <w:r>
      <w:rPr>
        <w:color w:val="666666"/>
        <w:sz w:val="16"/>
      </w:rPr>
      <w:t xml:space="preserve"> | </w:t>
    </w:r>
    <w:r>
      <w:rPr>
        <w:color w:val="666666"/>
        <w:sz w:val="16"/>
      </w:rPr>
      <w:t xml:space="preserve">Page </w:t>
    </w:r>
    <w:r>
      <w:fldChar w:fldCharType="begin"/>
      <w:instrText xml:space="preserve">PAGE</w:instrText>
      <w:fldChar w:fldCharType="end"/>
    </w:r>
    <w:r>
      <w:rPr>
        <w:color w:val="666666"/>
        <w:sz w:val="16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nlgirgis.github.io" TargetMode="External"/><Relationship Id="rId10" Type="http://schemas.openxmlformats.org/officeDocument/2006/relationships/hyperlink" Target="mailto:seanlgirgis@gmail.com" TargetMode="External"/><Relationship Id="rId11" Type="http://schemas.openxmlformats.org/officeDocument/2006/relationships/hyperlink" Target="https://github.com/seanlgirgis" TargetMode="External"/><Relationship Id="rId12" Type="http://schemas.openxmlformats.org/officeDocument/2006/relationships/hyperlink" Target="https://www.linkedin.com/in/sean-girgis-43bb1b5/" TargetMode="External"/><Relationship Id="rId13" Type="http://schemas.openxmlformats.org/officeDocument/2006/relationships/hyperlink" Target="https://x.com/SeanLuka22249" TargetMode="Externa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