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>
      <w:pPr>
        <w:jc w:val="center"/>
      </w:pPr>
      <w:hyperlink r:id="rId9">
        <w:r>
          <w:rPr>
            <w:color w:val="333333"/>
          </w:rPr>
          <w:t>seanlgirgis.github.io</w:t>
        </w:r>
      </w:hyperlink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10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2">
        <w:r>
          <w:rPr>
            <w:color w:val="004a99"/>
          </w:rPr>
          <w:t>LinkedIn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220" w:type="dxa"/>
              <w:bottom w:w="220" w:type="dxa"/>
              <w:left w:w="220" w:type="dxa"/>
              <w:right w:w="220" w:type="dxa"/>
            </w:tcMar>
            <w:tcBorders>
              <w:left w:val="single" w:sz="64" w:space="0" w:color="E07000"/>
            </w:tcBorders>
          </w:tcPr>
          <w:p/>
          <w:p>
            <w:pPr>
              <w:pBdr>
                <w:bottom w:val="single" w:sz="6" w:space="1" w:color="EEEEEE"/>
              </w:pBdr>
              <w:spacing w:before="240" w:after="120"/>
            </w:pPr>
            <w:r>
              <w:rPr>
                <w:rFonts w:ascii="Segoe UI" w:hAnsi="Segoe UI"/>
                <w:b/>
                <w:color w:val="004A99"/>
                <w:sz w:val="32"/>
              </w:rPr>
              <w:t>Core Competencies &amp; Expertise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600"/>
              <w:gridCol w:w="3600"/>
              <w:gridCol w:w="3600"/>
            </w:tblGrid>
            <w:tr>
              <w:tc>
                <w:tcPr>
                  <w:tcW w:type="dxa" w:w="3600"/>
                </w:tcPr>
                <w:p>
                  <w:r>
                    <w:rPr>
                      <w:b/>
                      <w:color w:val="004A99"/>
                      <w:sz w:val="22"/>
                    </w:rPr>
                    <w:t>Modern Stack</w:t>
                  </w:r>
                </w:p>
                <w:p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22"/>
                    </w:rPr>
                    <w:t>Python (Pandas, Scikit-Learn), ML Forecasting (Prophet), RAG Architectures, Spark, AWS Cloud.</w:t>
                  </w:r>
                </w:p>
              </w:tc>
              <w:tc>
                <w:tcPr>
                  <w:tcW w:type="dxa" w:w="3600"/>
                </w:tcPr>
                <w:p>
                  <w:r>
                    <w:rPr>
                      <w:b/>
                      <w:color w:val="004A99"/>
                      <w:sz w:val="22"/>
                    </w:rPr>
                    <w:t>Infrastructure &amp; APM</w:t>
                  </w:r>
                </w:p>
                <w:p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22"/>
                    </w:rPr>
                    <w:t>BMC TrueSight, AppDynamics, CA APM (Wily), Dynatrace, Capacity Optimization.</w:t>
                  </w:r>
                </w:p>
              </w:tc>
              <w:tc>
                <w:tcPr>
                  <w:tcW w:type="dxa" w:w="3600"/>
                </w:tcPr>
                <w:p>
                  <w:r>
                    <w:rPr>
                      <w:b/>
                      <w:color w:val="004A99"/>
                      <w:sz w:val="22"/>
                    </w:rPr>
                    <w:t>Legacy Engineering</w:t>
                  </w:r>
                </w:p>
                <w:p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22"/>
                    </w:rPr>
                    <w:t>C/C++, Java/J2EE, Pro*C, Unix (HPUX, Solaris, AIX), Shell Scripting, Oracle/SQL.</w:t>
                  </w:r>
                </w:p>
              </w:tc>
            </w:tr>
          </w:tbl>
          <w:p/>
        </w:tc>
      </w:tr>
    </w:tbl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CITI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Nov 2017 – Dec 2025</w:t>
            </w:r>
          </w:p>
        </w:tc>
      </w:tr>
    </w:tbl>
    <w:p>
      <w:pPr>
        <w:spacing w:after="40"/>
      </w:pPr>
      <w:r>
        <w:rPr>
          <w:i/>
          <w:color w:val="666666"/>
        </w:rPr>
        <w:t>Senior Performance &amp; Capacity Consultant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AI-Driven Forecasting:</w:t>
      </w:r>
      <w:r>
        <w:rPr>
          <w:rFonts w:ascii="Segoe UI" w:hAnsi="Segoe UI"/>
          <w:color w:val="333333"/>
          <w:sz w:val="22"/>
        </w:rPr>
        <w:t xml:space="preserve"> Developed ML models using Python and scikit-learn to predict infrastructure requirements 3-6 months in advance.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Data Pipelines:</w:t>
      </w:r>
      <w:r>
        <w:rPr>
          <w:rFonts w:ascii="Segoe UI" w:hAnsi="Segoe UI"/>
          <w:color w:val="333333"/>
          <w:sz w:val="22"/>
        </w:rPr>
        <w:t xml:space="preserve"> Built automated ETL pipelines to extract and process metrics from BMC TrueSight and AppDynamics for 10,000+ nodes.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HorizonScale:</w:t>
      </w:r>
      <w:r>
        <w:rPr>
          <w:rFonts w:ascii="Segoe UI" w:hAnsi="Segoe UI"/>
          <w:color w:val="333333"/>
          <w:sz w:val="22"/>
        </w:rPr>
        <w:t xml:space="preserve"> Led the transition from "Trenda" legacy scripts to a parallelized, high-throughput forecasting engine.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Cost Optimization:</w:t>
      </w:r>
      <w:r>
        <w:rPr>
          <w:rFonts w:ascii="Segoe UI" w:hAnsi="Segoe UI"/>
          <w:color w:val="333333"/>
          <w:sz w:val="22"/>
        </w:rPr>
        <w:t xml:space="preserve"> Identified underutilized patterns, leading to significant hardware consolidation and budget savings.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Administered and configured BMC TrueSight:</w:t>
      </w:r>
      <w:r>
        <w:rPr>
          <w:rFonts w:ascii="Segoe UI" w:hAnsi="Segoe UI"/>
          <w:color w:val="333333"/>
          <w:sz w:val="22"/>
        </w:rPr>
        <w:t xml:space="preserve"> Optimized platform, setting thresholds, alerts, baselines, and integrating data for proactive resource management across diverse applications.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Built automated Python/pandas data pipelines</w:t>
      </w:r>
      <w:r>
        <w:rPr>
          <w:rFonts w:ascii="Segoe UI" w:hAnsi="Segoe UI"/>
          <w:color w:val="333333"/>
          <w:sz w:val="22"/>
        </w:rPr>
        <w:t xml:space="preserve"> extract, cleanse, and consolidate capacity metrics from BMC TrueSight into centralized analytics for accurate forecasting and reporting.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G6 HOSPITALITY LLC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Mar 2017 – Nov 2017</w:t>
            </w:r>
          </w:p>
        </w:tc>
      </w:tr>
    </w:tbl>
    <w:p>
      <w:pPr>
        <w:spacing w:after="40"/>
      </w:pPr>
      <w:r>
        <w:rPr>
          <w:i/>
          <w:color w:val="666666"/>
        </w:rPr>
        <w:t>Performance Engineer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Managed end-to-end monitoring for Brand.com using Dynatrace AppMon and Synthetics.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the "FAST" project, data mining user performance metrics to optimize critical money-generating systems.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Upgraded DynaTrace from v6.5 to v7.0, enforced TLS 1.2 security, and integrated Performance Center with DynaTrace.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Implemented custom dashboards, alerts, and reports for business-critical monitoring.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Supported cloud migration to AWS, evaluated mobile monitoring tools, and delivered before/after dashboards for performance tracking.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Optimized large-scale DynaTrace installations, resolving complex issues in high-stakes financial services environments.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HCL / ENTERGY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Jan 2017 – Mar 2017</w:t>
            </w:r>
          </w:p>
        </w:tc>
      </w:tr>
    </w:tbl>
    <w:p>
      <w:pPr>
        <w:spacing w:after="40"/>
      </w:pPr>
      <w:r>
        <w:rPr>
          <w:i/>
          <w:color w:val="666666"/>
        </w:rPr>
        <w:t>APM Consultant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Supported enterprise-wide CA APM, CEM, and ADA solutions for utility grid systems.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CA TECHNOLOGIES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Mar 2014 – Aug 2016</w:t>
            </w:r>
          </w:p>
        </w:tc>
      </w:tr>
    </w:tbl>
    <w:p>
      <w:pPr>
        <w:spacing w:after="40"/>
      </w:pPr>
      <w:r>
        <w:rPr>
          <w:i/>
          <w:color w:val="666666"/>
        </w:rPr>
        <w:t>Senior Consultant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Led planning, implementation, and upgrades of CA APM solutions for enterprise clients, ensuring seamless integration and performance scalability. 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Reviewed client architectures, provided sizing recommendations, and optimized agent/Enterprise Manager installations for maximum efficiency.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and deployed custom Management Modules, including advanced reports, alerts, and dashboards tailored to business needs.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Delivered client training, knowledge transfer, and comprehensive documentation to enable long-term self-sufficiency in CA APM operations.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ENTERPRISE IRON (TIAA-CREF)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Aug 2011 – Dec 2013</w:t>
            </w:r>
          </w:p>
        </w:tc>
      </w:tr>
    </w:tbl>
    <w:p>
      <w:pPr>
        <w:spacing w:after="40"/>
      </w:pPr>
      <w:r>
        <w:rPr>
          <w:i/>
          <w:color w:val="666666"/>
        </w:rPr>
        <w:t>SME for CA APM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Served as CA APM SME for TIAA-CREF, managing day-to-day operations of a large-scale enterprise environment with 4 regions, 50+ Enterprise Managers, and ~4,000–6,000 agents.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upgrade of CA Wily Introscope from v9.1 to v9.50, ensuring minimal disruption across multi-cluster financial services infrastructure.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and implemented custom Management Modules, including specialized dashboards, alerts, reports, and Perl/Ksh data-extraction scripts for business-specific insights.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Oversaw agent installations, Power Pack deployments, and cluster maintenance (e.g., resolving clamps) to maintain high-availability monitoring.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Collaborated with IT teams to troubleshoot performance issues in J2EE/WebLogic/WebSphere environments, leveraging JMX monitoring for bottleneck resolution.</w:t>
      </w:r>
    </w:p>
    <w:p>
      <w:pPr>
        <w:spacing w:after="120"/>
      </w:pPr>
    </w:p>
    <w:p>
      <w:pPr>
        <w:sectPr>
          <w:footerReference w:type="default" r:id="rId13"/>
          <w:pgSz w:w="12240" w:h="15840"/>
          <w:pgMar w:top="360" w:right="720" w:bottom="360" w:left="720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Segoe UI" w:hAnsi="Segoe UI"/>
          <w:b/>
          <w:color w:val="004A99"/>
          <w:sz w:val="5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AT&amp;T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Aug 2010 – Jul 2011</w:t>
            </w:r>
          </w:p>
        </w:tc>
      </w:tr>
    </w:tbl>
    <w:p>
      <w:pPr>
        <w:spacing w:after="40"/>
      </w:pPr>
      <w:r>
        <w:rPr>
          <w:i/>
          <w:color w:val="666666"/>
        </w:rPr>
        <w:t>Telecom Applications Performance Testing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Analyzed performance of J2EE telecom web applications to identify optimal loads, break points, and resource bottlenecks.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Documented key metrics (JDBC connections, threads, memory, CPU, GC) and installed JMX Monitoring, Thread Dumps, and Wily Introscope.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Created and modified automation/testing scripts for performance validation.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SABRE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May 2008 – Jan 2010</w:t>
            </w:r>
          </w:p>
        </w:tc>
      </w:tr>
    </w:tbl>
    <w:p>
      <w:pPr>
        <w:spacing w:after="40"/>
      </w:pPr>
      <w:r>
        <w:rPr>
          <w:i/>
          <w:color w:val="666666"/>
        </w:rPr>
        <w:t>Senior Software Engineer (C++)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and implemented high-performance conversion of global travel Shopping Engine from MySQL to Oracle, reducing server footprint dramatically.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Converted SQL queries, achieved superior DSS performance, and automated conversion process.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Built testing framework using CPPUNIT in C++/OCCI/OCI environment.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Computer Science Corporation (CSC)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OCT 2007 – May 2008</w:t>
            </w:r>
          </w:p>
        </w:tc>
      </w:tr>
    </w:tbl>
    <w:p>
      <w:pPr>
        <w:spacing w:after="40"/>
      </w:pPr>
      <w:r>
        <w:rPr>
          <w:i/>
          <w:color w:val="666666"/>
        </w:rPr>
        <w:t>Architect/Developer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Performed UML-based unit design, created class/sequence diagrams, and developed modules for IRS modernization.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Worked on CICS/MQSeries/XML messaging architecture with VC++ and DB2.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Corpus Inc. (CenturyTel -AT&amp;T)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May 2005 – Oct 2007</w:t>
            </w:r>
          </w:p>
        </w:tc>
      </w:tr>
    </w:tbl>
    <w:p>
      <w:pPr>
        <w:spacing w:after="40"/>
      </w:pPr>
      <w:r>
        <w:rPr>
          <w:i/>
          <w:color w:val="666666"/>
        </w:rPr>
        <w:t>Developer / Support Engineer (AMDOCS telecom billing systems)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Delivered performance enhancements in billing processes (C/C++/Pro*C/PL/SQL), reducing memory usage 75% and improving throughput 20%.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Developed and troubleshot Flexible Bill Formatter, EDI interfaces, and Enabler/EMS/CSM modules.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Automated system administration tasks (WebLogic/WebSphere) with Korn Shell scripts, saving 60% reboot time.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Sprint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2001 – 2005</w:t>
            </w:r>
          </w:p>
        </w:tc>
      </w:tr>
    </w:tbl>
    <w:p>
      <w:pPr>
        <w:spacing w:after="40"/>
      </w:pPr>
      <w:r>
        <w:rPr>
          <w:i/>
          <w:color w:val="666666"/>
        </w:rPr>
        <w:t>High Availability Interfaces - C++, POSIX Threads, Marconi APIs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Developed high-availability multithreaded interfaces (C++/POSIX threads/sockets/IPC) for EAMS/AMS-PRMS integration.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PRMS maintenance, upgrade (PowerBuilder → Web), and enhancements; improved DB performance 10x via PL/SQL optimizations.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Reverse-engineered AMDOCS APIs, implemented interfaces, and supported CSM production troubleshooting.</w:t>
      </w:r>
    </w:p>
    <w:p>
      <w:pPr>
        <w:spacing w:after="120"/>
      </w:pPr>
    </w:p>
    <w:p>
      <w:pPr>
        <w:sectPr>
          <w:footerReference w:type="default" r:id="rId14"/>
          <w:pgSz w:w="12240" w:h="15840"/>
          <w:pgMar w:top="360" w:right="720" w:bottom="360" w:left="720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Segoe UI" w:hAnsi="Segoe UI"/>
          <w:b/>
          <w:color w:val="004A99"/>
          <w:sz w:val="5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Simplex International - Canada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1999 – 2001</w:t>
            </w:r>
          </w:p>
        </w:tc>
      </w:tr>
    </w:tbl>
    <w:p>
      <w:pPr>
        <w:spacing w:after="40"/>
      </w:pPr>
      <w:r>
        <w:rPr>
          <w:i/>
          <w:color w:val="666666"/>
        </w:rPr>
        <w:t>Developer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Developed interfaces and MRC to the time and attendence system using VB6.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Developed extension for Client GM on the security and alert system Using VC++.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High Diploma: Computer Engineering Technology</w:t>
      </w:r>
      <w:r>
        <w:rPr>
          <w:rFonts w:ascii="Segoe UI" w:hAnsi="Segoe UI"/>
          <w:color w:val="333333"/>
          <w:sz w:val="22"/>
        </w:rPr>
        <w:t xml:space="preserve"> - Humber College, Canada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Bachelor of Science: Civil Engineering</w:t>
      </w:r>
      <w:r>
        <w:rPr>
          <w:rFonts w:ascii="Segoe UI" w:hAnsi="Segoe UI"/>
          <w:color w:val="333333"/>
          <w:sz w:val="22"/>
        </w:rPr>
        <w:t xml:space="preserve"> - Zagazig University, Egypt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Brainbench Certified: C++ Fundamentals, Java 2.0, OOD, C, and Mathematics.</w:t>
      </w:r>
    </w:p>
    <w:p>
      <w:pPr>
        <w:spacing w:after="120"/>
      </w:pPr>
    </w:p>
    <w:sectPr w:rsidR="00FC693F" w:rsidRPr="0006063C" w:rsidSect="00034616">
      <w:footerReference w:type="default" r:id="rId15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 - Curriculum Vitae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 - Curriculum Vitae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 - Curriculum Vitae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nlgirgis.github.io" TargetMode="External"/><Relationship Id="rId10" Type="http://schemas.openxmlformats.org/officeDocument/2006/relationships/hyperlink" Target="mailto:seanlgirgis@gmail.com" TargetMode="External"/><Relationship Id="rId11" Type="http://schemas.openxmlformats.org/officeDocument/2006/relationships/hyperlink" Target="https://github.com/seanlgirgis" TargetMode="External"/><Relationship Id="rId12" Type="http://schemas.openxmlformats.org/officeDocument/2006/relationships/hyperlink" Target="https://www.linkedin.com/in/sean-girgis-43bb1b5/" TargetMode="Externa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