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4A99"/>
          <w:sz w:val="56"/>
        </w:rPr>
        <w:t>SEAN LUKA GIRGIS</w:t>
      </w:r>
    </w:p>
    <w:p>
      <w:pPr>
        <w:jc w:val="center"/>
      </w:pPr>
      <w:hyperlink r:id="rId9">
        <w:r>
          <w:rPr>
            <w:color w:val="333333"/>
          </w:rPr>
          <w:t>seanlgirgis.github.io</w:t>
        </w:r>
      </w:hyperlink>
      <w:r>
        <w:rPr>
          <w:sz w:val="20"/>
        </w:rPr>
        <w:t xml:space="preserve"> | </w:t>
      </w:r>
      <w:r>
        <w:rPr>
          <w:color w:val="333333"/>
          <w:sz w:val="20"/>
        </w:rPr>
        <w:t>214-315-2190</w:t>
      </w:r>
      <w:r>
        <w:rPr>
          <w:sz w:val="20"/>
        </w:rPr>
        <w:t xml:space="preserve"> | </w:t>
      </w:r>
      <w:hyperlink r:id="rId10">
        <w:r>
          <w:rPr>
            <w:color w:val="333333"/>
          </w:rPr>
          <w:t>seanlgirgis@gmail.com</w:t>
        </w:r>
      </w:hyperlink>
      <w:r>
        <w:rPr>
          <w:sz w:val="20"/>
        </w:rPr>
        <w:t xml:space="preserve"> | </w:t>
      </w:r>
      <w:hyperlink r:id="rId11">
        <w:r>
          <w:rPr>
            <w:color w:val="004a99"/>
          </w:rPr>
          <w:t>GitHub</w:t>
        </w:r>
      </w:hyperlink>
      <w:r>
        <w:rPr>
          <w:sz w:val="20"/>
        </w:rPr>
        <w:t xml:space="preserve"> | </w:t>
      </w:r>
      <w:hyperlink r:id="rId12">
        <w:r>
          <w:rPr>
            <w:color w:val="004a99"/>
          </w:rPr>
          <w:t>LinkedIn</w:t>
        </w:r>
      </w:hyperlink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shd w:val="clear" w:color="auto" w:fill="F2F2F2"/>
            <w:tcMar>
              <w:top w:w="220" w:type="dxa"/>
              <w:bottom w:w="220" w:type="dxa"/>
              <w:left w:w="220" w:type="dxa"/>
              <w:right w:w="220" w:type="dxa"/>
            </w:tcMar>
            <w:tcBorders>
              <w:left w:val="single" w:sz="64" w:space="0" w:color="004a99"/>
            </w:tcBorders>
          </w:tcPr>
          <w:p>
            <w:pPr>
              <w:spacing w:before="0" w:after="0" w:line="288" w:lineRule="auto"/>
            </w:pPr>
            <w:r>
              <w:rPr>
                <w:rFonts w:ascii="Segoe UI" w:hAnsi="Segoe UI"/>
                <w:b/>
                <w:color w:val="333333"/>
                <w:sz w:val="22"/>
              </w:rPr>
              <w:t>Enterprise ML Engineer &amp; Time-Series Specialist</w:t>
            </w:r>
            <w:r>
              <w:rPr>
                <w:rFonts w:ascii="Segoe UI" w:hAnsi="Segoe UI"/>
                <w:color w:val="333333"/>
                <w:sz w:val="22"/>
              </w:rPr>
              <w:t xml:space="preserve"> with 20+ years of technical leadership.</w:t>
              <w:br/>
              <w:t xml:space="preserve">Specialist in deploying high-performance </w:t>
            </w:r>
            <w:r>
              <w:rPr>
                <w:rFonts w:ascii="Segoe UI" w:hAnsi="Segoe UI"/>
                <w:b/>
                <w:color w:val="333333"/>
                <w:sz w:val="22"/>
              </w:rPr>
              <w:t>Predictive Capacity Pipelines</w:t>
            </w:r>
            <w:r>
              <w:rPr>
                <w:rFonts w:ascii="Segoe UI" w:hAnsi="Segoe UI"/>
                <w:color w:val="333333"/>
                <w:sz w:val="22"/>
              </w:rPr>
              <w:t xml:space="preserve"> for 10,000+ servers.</w:t>
              <w:br/>
              <w:t xml:space="preserve">Expert at bypassing the Python GIL to achieve </w:t>
            </w:r>
            <w:r>
              <w:rPr>
                <w:rFonts w:ascii="Segoe UI" w:hAnsi="Segoe UI"/>
                <w:b/>
                <w:color w:val="333333"/>
                <w:sz w:val="22"/>
              </w:rPr>
              <w:t>10x forecasting throughput</w:t>
            </w:r>
            <w:r>
              <w:rPr>
                <w:rFonts w:ascii="Segoe UI" w:hAnsi="Segoe UI"/>
                <w:color w:val="333333"/>
                <w:sz w:val="22"/>
              </w:rPr>
              <w:t>.</w:t>
              <w:br/>
            </w:r>
          </w:p>
        </w:tc>
      </w:tr>
    </w:tbl>
    <w:p>
      <w:pPr>
        <w:spacing w:after="24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CORE ML ENGINEERING PILLARS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color w:val="004A99"/>
                <w:sz w:val="22"/>
              </w:rPr>
              <w:t>Predictive Engineering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Advanced Forecasting</w:t>
            </w:r>
            <w:r>
              <w:rPr>
                <w:rFonts w:ascii="Segoe UI" w:hAnsi="Segoe UI"/>
                <w:color w:val="333333"/>
                <w:sz w:val="22"/>
              </w:rPr>
              <w:t>: Prophet, LSTM, XGBoost.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High-Performance Data</w:t>
            </w:r>
            <w:r>
              <w:rPr>
                <w:rFonts w:ascii="Segoe UI" w:hAnsi="Segoe UI"/>
                <w:color w:val="333333"/>
                <w:sz w:val="22"/>
              </w:rPr>
              <w:t>: Feature extraction from Parquet/Spark.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Visualization</w:t>
            </w:r>
            <w:r>
              <w:rPr>
                <w:rFonts w:ascii="Segoe UI" w:hAnsi="Segoe UI"/>
                <w:color w:val="333333"/>
                <w:sz w:val="22"/>
              </w:rPr>
              <w:t>: Interactive Streamlit dashboards.</w:t>
            </w:r>
          </w:p>
        </w:tc>
        <w:tc>
          <w:tcPr>
            <w:tcW w:type="dxa" w:w="5400"/>
          </w:tcPr>
          <w:p>
            <w:r>
              <w:rPr>
                <w:b/>
                <w:color w:val="004A99"/>
                <w:sz w:val="22"/>
              </w:rPr>
              <w:t>MLOps &amp; Strategy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Model Competition</w:t>
            </w:r>
            <w:r>
              <w:rPr>
                <w:rFonts w:ascii="Segoe UI" w:hAnsi="Segoe UI"/>
                <w:color w:val="333333"/>
                <w:sz w:val="22"/>
              </w:rPr>
              <w:t>: Automated champion/challenger selection.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Confidence Modeling</w:t>
            </w:r>
            <w:r>
              <w:rPr>
                <w:rFonts w:ascii="Segoe UI" w:hAnsi="Segoe UI"/>
                <w:color w:val="333333"/>
                <w:sz w:val="22"/>
              </w:rPr>
              <w:t>: "High Trust" 90-day utilization logic.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Domain Expertise</w:t>
            </w:r>
            <w:r>
              <w:rPr>
                <w:rFonts w:ascii="Segoe UI" w:hAnsi="Segoe UI"/>
                <w:color w:val="333333"/>
                <w:sz w:val="22"/>
              </w:rPr>
              <w:t>: BMC TrueSight &amp; AppDynamics synthesis.</w:t>
            </w:r>
          </w:p>
        </w:tc>
      </w:tr>
    </w:tbl>
    <w:p>
      <w:pPr>
        <w:spacing w:before="240" w:after="120"/>
      </w:pPr>
      <w:r>
        <w:rPr>
          <w:rFonts w:ascii="Segoe UI" w:hAnsi="Segoe UI"/>
          <w:b/>
          <w:color w:val="004A99"/>
          <w:sz w:val="32"/>
          <w:u w:val="single" w:color="E07000"/>
        </w:rPr>
        <w:t>FLAGSHIP PROJECT: HORIZONSCALE AI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tcMar>
              <w:top w:w="0" w:type="dxa"/>
              <w:bottom w:w="0" w:type="dxa"/>
              <w:left w:w="220" w:type="dxa"/>
              <w:right w:w="0" w:type="dxa"/>
            </w:tcMar>
            <w:tcBorders>
              <w:left w:val="single" w:sz="32" w:space="0" w:color="E07000"/>
            </w:tcBorders>
          </w:tcPr>
          <w:p>
            <w:pPr>
              <w:spacing w:after="80"/>
            </w:pPr>
            <w:r>
              <w:rPr>
                <w:b/>
                <w:sz w:val="22"/>
              </w:rPr>
              <w:t>Predictive Utilization Pipeline (2,000+ Nodes)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Turbo Prophet</w:t>
            </w:r>
            <w:r>
              <w:rPr>
                <w:rFonts w:ascii="Segoe UI" w:hAnsi="Segoe UI"/>
                <w:color w:val="333333"/>
                <w:sz w:val="22"/>
              </w:rPr>
              <w:t xml:space="preserve">: Parallel execution framework reducing cycles by </w:t>
            </w:r>
            <w:r>
              <w:rPr>
                <w:rFonts w:ascii="Segoe UI" w:hAnsi="Segoe UI"/>
                <w:b/>
                <w:color w:val="333333"/>
                <w:sz w:val="22"/>
              </w:rPr>
              <w:t>90%</w:t>
            </w:r>
            <w:r>
              <w:rPr>
                <w:rFonts w:ascii="Segoe UI" w:hAnsi="Segoe UI"/>
                <w:color w:val="333333"/>
                <w:sz w:val="22"/>
              </w:rPr>
              <w:t>.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High-Fidelity Training</w:t>
            </w:r>
            <w:r>
              <w:rPr>
                <w:rFonts w:ascii="Segoe UI" w:hAnsi="Segoe UI"/>
                <w:color w:val="333333"/>
                <w:sz w:val="22"/>
              </w:rPr>
              <w:t>: 3-year historical synthetic foundation.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Interactive Dashboard</w:t>
            </w:r>
            <w:r>
              <w:rPr>
                <w:rFonts w:ascii="Segoe UI" w:hAnsi="Segoe UI"/>
                <w:color w:val="333333"/>
                <w:sz w:val="22"/>
              </w:rPr>
              <w:t>: 6-month outlooks vs. historical baselines.</w:t>
            </w:r>
          </w:p>
          <w:p>
            <w:pPr>
              <w:spacing w:before="160"/>
            </w:pPr>
            <w:r>
              <w:rPr>
                <w:b/>
                <w:color w:val="FFFFFF"/>
                <w:sz w:val="18"/>
                <w:shd w:val="clear" w:color="auto" w:fill="004a99"/>
              </w:rPr>
              <w:t xml:space="preserve"> Python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Prophet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Streamlit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Spark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Multiprocessing </w:t>
            </w:r>
          </w:p>
        </w:tc>
      </w:tr>
    </w:tbl>
    <w:p>
      <w:pPr>
        <w:spacing w:after="24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Capacity and Performance Consultant (ML &amp; Strategy)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2017 – Dec 2025</w:t>
            </w:r>
          </w:p>
        </w:tc>
      </w:tr>
    </w:tbl>
    <w:p>
      <w:pPr>
        <w:spacing w:after="40"/>
      </w:pPr>
      <w:r>
        <w:rPr>
          <w:i/>
          <w:color w:val="666666"/>
        </w:rPr>
        <w:t>CITI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Architected big-data forecasting for 10,000+ global servers.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 xml:space="preserve">Automated regional forecasting, reducing manual analysis by </w:t>
      </w:r>
      <w:r>
        <w:rPr>
          <w:rFonts w:ascii="Segoe UI" w:hAnsi="Segoe UI"/>
          <w:b/>
          <w:color w:val="333333"/>
          <w:sz w:val="22"/>
        </w:rPr>
        <w:t>85%</w:t>
      </w:r>
      <w:r>
        <w:rPr>
          <w:rFonts w:ascii="Segoe UI" w:hAnsi="Segoe UI"/>
          <w:color w:val="333333"/>
          <w:sz w:val="22"/>
        </w:rPr>
        <w:t>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Used BMC TrueSight and AppDynamics for proactive outage detection.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Performance Engineer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2017 – 2017</w:t>
            </w:r>
          </w:p>
        </w:tc>
      </w:tr>
    </w:tbl>
    <w:p>
      <w:pPr>
        <w:spacing w:after="40"/>
      </w:pPr>
      <w:r>
        <w:rPr>
          <w:i/>
          <w:color w:val="666666"/>
        </w:rPr>
        <w:t>G6 Hospitality LLC &amp; HCL/ENTERGY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Managed end-to-end monitoring for Brand.com using Dynatrace AppMon and Synthetics.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the "FAST" project, data mining user performance metrics to optimize critical money-generating systems.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Senior Consultant (CA APM Consulting)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2012 – 2017</w:t>
            </w:r>
          </w:p>
        </w:tc>
      </w:tr>
    </w:tbl>
    <w:p>
      <w:pPr>
        <w:spacing w:after="40"/>
      </w:pPr>
      <w:r>
        <w:rPr>
          <w:i/>
          <w:color w:val="666666"/>
        </w:rPr>
        <w:t>CA Technologies &amp; TIAA-CREF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enterprise CA APM implementations and upgrades (v9.1 → v10.1) for financial clients, managing 4,000–6,000 agents across multi-cluster environments.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Served as CA APM SME, handling daily operations, cluster maintenance, agent/Power Pack rollouts, and performance bottleneck resolution in J2EE/.NET stacks.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Designed custom dashboards, alerts, reports, and Perl/Ksh data-extraction scripts to deliver actionable insights for business-critical monitoring.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Provided architectural sizing recommendations, Golden Image creation, client training, and technical team leadership for APM deployments.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Optimized large-scale CA Wily Introscope installations, resolving complex issues in high-stakes financial services environments.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EXPERIENCE HISTORY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AT&amp;T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2010 – 2011</w:t>
            </w:r>
          </w:p>
        </w:tc>
      </w:tr>
    </w:tbl>
    <w:p>
      <w:pPr>
        <w:spacing w:after="40"/>
      </w:pPr>
      <w:r>
        <w:rPr>
          <w:i/>
          <w:color w:val="666666"/>
        </w:rPr>
        <w:t>Senior performance Test Engineer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Sabre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2008 – 2012</w:t>
            </w:r>
          </w:p>
        </w:tc>
      </w:tr>
    </w:tbl>
    <w:p>
      <w:pPr>
        <w:spacing w:after="40"/>
      </w:pPr>
      <w:r>
        <w:rPr>
          <w:i/>
          <w:color w:val="666666"/>
        </w:rPr>
        <w:t>Senior Developer - C++, Java, Backend Architecture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Software Engineer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2000 – 2008</w:t>
            </w:r>
          </w:p>
        </w:tc>
      </w:tr>
    </w:tbl>
    <w:p>
      <w:pPr>
        <w:spacing w:after="40"/>
      </w:pPr>
      <w:r>
        <w:rPr>
          <w:i/>
          <w:color w:val="666666"/>
        </w:rPr>
        <w:t>Full-Stack Development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EDUCATION &amp;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Post-Graduate Diploma, Computer Science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</w:r>
          </w:p>
        </w:tc>
      </w:tr>
    </w:tbl>
    <w:p>
      <w:pPr>
        <w:spacing w:after="40"/>
      </w:pPr>
      <w:r>
        <w:rPr>
          <w:i/>
          <w:color w:val="666666"/>
        </w:rPr>
        <w:t>Humber College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Bachelor of Science, Engineering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</w:r>
          </w:p>
        </w:tc>
      </w:tr>
    </w:tbl>
    <w:p>
      <w:pPr>
        <w:spacing w:after="40"/>
      </w:pPr>
      <w:r>
        <w:rPr>
          <w:i/>
          <w:color w:val="666666"/>
        </w:rPr>
        <w:t>Zagazig University</w:t>
      </w:r>
    </w:p>
    <w:p>
      <w:pPr>
        <w:spacing w:after="120"/>
      </w:pPr>
    </w:p>
    <w:sectPr w:rsidR="00FC693F" w:rsidRPr="0006063C" w:rsidSect="00034616">
      <w:footerReference w:type="default" r:id="rId13"/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66666"/>
        <w:sz w:val="16"/>
      </w:rPr>
      <w:t>Sean Luka Girgis</w:t>
    </w:r>
    <w:r>
      <w:rPr>
        <w:color w:val="666666"/>
        <w:sz w:val="16"/>
      </w:rPr>
      <w:t xml:space="preserve"> | </w:t>
    </w:r>
    <w:r>
      <w:rPr>
        <w:color w:val="666666"/>
        <w:sz w:val="16"/>
      </w:rPr>
      <w:t xml:space="preserve">Page </w:t>
    </w:r>
    <w:r>
      <w:fldChar w:fldCharType="begin"/>
      <w:instrText xml:space="preserve">PAGE</w:instrText>
      <w:fldChar w:fldCharType="end"/>
    </w:r>
    <w:r>
      <w:rPr>
        <w:color w:val="666666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nlgirgis.github.io" TargetMode="External"/><Relationship Id="rId10" Type="http://schemas.openxmlformats.org/officeDocument/2006/relationships/hyperlink" Target="mailto:seanlgirgis@gmail.com" TargetMode="External"/><Relationship Id="rId11" Type="http://schemas.openxmlformats.org/officeDocument/2006/relationships/hyperlink" Target="https://github.com/seanlgirgis" TargetMode="External"/><Relationship Id="rId12" Type="http://schemas.openxmlformats.org/officeDocument/2006/relationships/hyperlink" Target="https://www.linkedin.com/in/sean-girgis-43bb1b5/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