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Segoe UI" w:hAnsi="Segoe UI"/>
          <w:b/>
          <w:color w:val="004A99"/>
          <w:sz w:val="56"/>
        </w:rPr>
        <w:t>SEAN LUKA GIRGIS</w:t>
      </w:r>
    </w:p>
    <w:p>
      <w:pPr>
        <w:jc w:val="center"/>
      </w:pPr>
      <w:r>
        <w:rPr>
          <w:color w:val="333333"/>
          <w:sz w:val="20"/>
        </w:rPr>
        <w:t>Murphy, TX</w:t>
      </w:r>
      <w:r>
        <w:rPr>
          <w:sz w:val="20"/>
        </w:rPr>
        <w:t xml:space="preserve"> | </w:t>
      </w:r>
      <w:r>
        <w:rPr>
          <w:color w:val="333333"/>
          <w:sz w:val="20"/>
        </w:rPr>
        <w:t>214-315-2190</w:t>
      </w:r>
      <w:r>
        <w:rPr>
          <w:sz w:val="20"/>
        </w:rPr>
        <w:t xml:space="preserve"> | </w:t>
      </w:r>
      <w:hyperlink r:id="rId9">
        <w:r>
          <w:rPr>
            <w:color w:val="333333"/>
          </w:rPr>
          <w:t>seanlgirgis@gmail.com</w:t>
        </w:r>
      </w:hyperlink>
      <w:r>
        <w:rPr>
          <w:sz w:val="20"/>
        </w:rPr>
        <w:t xml:space="preserve"> | </w:t>
      </w:r>
      <w:hyperlink r:id="rId10">
        <w:r>
          <w:rPr>
            <w:color w:val="004a99"/>
          </w:rPr>
          <w:t>GitHub</w:t>
        </w:r>
      </w:hyperlink>
      <w:r>
        <w:rPr>
          <w:sz w:val="20"/>
        </w:rPr>
        <w:t xml:space="preserve"> | </w:t>
      </w:r>
      <w:hyperlink r:id="rId11">
        <w:r>
          <w:rPr>
            <w:color w:val="004a99"/>
          </w:rPr>
          <w:t>LinkedIn</w:t>
        </w:r>
      </w:hyperlink>
    </w:p>
    <w:p>
      <w:pPr>
        <w:spacing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772"/>
      </w:tblGrid>
      <w:tr>
        <w:tc>
          <w:tcPr>
            <w:tcW w:type="dxa" w:w="10800"/>
            <w:shd w:val="clear" w:color="auto" w:fill="F2F2F2"/>
            <w:tcMar>
              <w:top w:w="220" w:type="dxa"/>
              <w:bottom w:w="220" w:type="dxa"/>
              <w:left w:w="220" w:type="dxa"/>
              <w:right w:w="220" w:type="dxa"/>
            </w:tcMar>
            <w:tcBorders>
              <w:left w:val="single" w:sz="64" w:space="0" w:color="004a99"/>
            </w:tcBorders>
          </w:tcPr>
          <w:p>
            <w:pPr>
              <w:spacing w:before="0" w:after="0" w:line="288" w:lineRule="auto"/>
            </w:pPr>
            <w:r>
              <w:rPr>
                <w:rFonts w:ascii="Segoe UI" w:hAnsi="Segoe UI"/>
                <w:b/>
                <w:color w:val="333333"/>
                <w:sz w:val="22"/>
              </w:rPr>
              <w:t>Enterprise ML Engineer &amp; Time-Series Specialist</w:t>
            </w:r>
            <w:r>
              <w:rPr>
                <w:rFonts w:ascii="Segoe UI" w:hAnsi="Segoe UI"/>
                <w:color w:val="333333"/>
                <w:sz w:val="22"/>
              </w:rPr>
              <w:t xml:space="preserve"> with 20+ years of technical leadership.</w:t>
              <w:br/>
              <w:t xml:space="preserve">Specialist in deploying high-performance </w:t>
            </w:r>
            <w:r>
              <w:rPr>
                <w:rFonts w:ascii="Segoe UI" w:hAnsi="Segoe UI"/>
                <w:b/>
                <w:color w:val="333333"/>
                <w:sz w:val="22"/>
              </w:rPr>
              <w:t>Predictive Capacity Pipelines</w:t>
            </w:r>
            <w:r>
              <w:rPr>
                <w:rFonts w:ascii="Segoe UI" w:hAnsi="Segoe UI"/>
                <w:color w:val="333333"/>
                <w:sz w:val="22"/>
              </w:rPr>
              <w:t xml:space="preserve"> for 10,000+ servers.</w:t>
              <w:br/>
              <w:t xml:space="preserve">Expert at bypassing the Python GIL to achieve </w:t>
            </w:r>
            <w:r>
              <w:rPr>
                <w:rFonts w:ascii="Segoe UI" w:hAnsi="Segoe UI"/>
                <w:b/>
                <w:color w:val="333333"/>
                <w:sz w:val="22"/>
              </w:rPr>
              <w:t>10x forecasting throughput</w:t>
            </w:r>
            <w:r>
              <w:rPr>
                <w:rFonts w:ascii="Segoe UI" w:hAnsi="Segoe UI"/>
                <w:color w:val="333333"/>
                <w:sz w:val="22"/>
              </w:rPr>
              <w:t>.</w:t>
              <w:br/>
            </w:r>
          </w:p>
        </w:tc>
      </w:tr>
    </w:tbl>
    <w:p>
      <w:pPr>
        <w:spacing w:after="240"/>
      </w:pPr>
    </w:p>
    <w:p>
      <w:pPr>
        <w:pBdr>
          <w:bottom w:val="single" w:sz="6" w:space="1" w:color="EEEEEE"/>
        </w:pBdr>
        <w:spacing w:before="240" w:after="120"/>
      </w:pPr>
      <w:r>
        <w:rPr>
          <w:rFonts w:ascii="Segoe UI" w:hAnsi="Segoe UI"/>
          <w:b/>
          <w:color w:val="004A99"/>
          <w:sz w:val="32"/>
        </w:rPr>
        <w:t>CORE ML ENGINEERING PILLARS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r>
              <w:rPr>
                <w:b/>
                <w:color w:val="004A99"/>
                <w:sz w:val="22"/>
              </w:rPr>
              <w:t>Predictive Engineering</w:t>
            </w:r>
          </w:p>
          <w:p>
            <w:pPr>
              <w:pStyle w:val="ListBullet"/>
            </w:pPr>
            <w:r>
              <w:rPr>
                <w:rFonts w:ascii="Segoe UI" w:hAnsi="Segoe UI"/>
                <w:b/>
                <w:color w:val="333333"/>
                <w:sz w:val="22"/>
              </w:rPr>
              <w:t>Advanced Forecasting</w:t>
            </w:r>
            <w:r>
              <w:rPr>
                <w:rFonts w:ascii="Segoe UI" w:hAnsi="Segoe UI"/>
                <w:color w:val="333333"/>
                <w:sz w:val="22"/>
              </w:rPr>
              <w:t>: Prophet, LSTM, XGBoost.</w:t>
            </w:r>
          </w:p>
          <w:p>
            <w:pPr>
              <w:pStyle w:val="ListBullet"/>
            </w:pPr>
            <w:r>
              <w:rPr>
                <w:rFonts w:ascii="Segoe UI" w:hAnsi="Segoe UI"/>
                <w:b/>
                <w:color w:val="333333"/>
                <w:sz w:val="22"/>
              </w:rPr>
              <w:t>High-Performance Data</w:t>
            </w:r>
            <w:r>
              <w:rPr>
                <w:rFonts w:ascii="Segoe UI" w:hAnsi="Segoe UI"/>
                <w:color w:val="333333"/>
                <w:sz w:val="22"/>
              </w:rPr>
              <w:t>: Feature extraction from Parquet/Spark.</w:t>
            </w:r>
          </w:p>
          <w:p>
            <w:pPr>
              <w:pStyle w:val="ListBullet"/>
            </w:pPr>
            <w:r>
              <w:rPr>
                <w:rFonts w:ascii="Segoe UI" w:hAnsi="Segoe UI"/>
                <w:b/>
                <w:color w:val="333333"/>
                <w:sz w:val="22"/>
              </w:rPr>
              <w:t>Visualization</w:t>
            </w:r>
            <w:r>
              <w:rPr>
                <w:rFonts w:ascii="Segoe UI" w:hAnsi="Segoe UI"/>
                <w:color w:val="333333"/>
                <w:sz w:val="22"/>
              </w:rPr>
              <w:t>: Interactive Streamlit dashboards.</w:t>
            </w:r>
          </w:p>
        </w:tc>
        <w:tc>
          <w:tcPr>
            <w:tcW w:type="dxa" w:w="5400"/>
          </w:tcPr>
          <w:p>
            <w:r>
              <w:rPr>
                <w:b/>
                <w:color w:val="004A99"/>
                <w:sz w:val="22"/>
              </w:rPr>
              <w:t>MLOps &amp; Strategy</w:t>
            </w:r>
          </w:p>
          <w:p>
            <w:pPr>
              <w:pStyle w:val="ListBullet"/>
            </w:pPr>
            <w:r>
              <w:rPr>
                <w:rFonts w:ascii="Segoe UI" w:hAnsi="Segoe UI"/>
                <w:b/>
                <w:color w:val="333333"/>
                <w:sz w:val="22"/>
              </w:rPr>
              <w:t>Model Competition</w:t>
            </w:r>
            <w:r>
              <w:rPr>
                <w:rFonts w:ascii="Segoe UI" w:hAnsi="Segoe UI"/>
                <w:color w:val="333333"/>
                <w:sz w:val="22"/>
              </w:rPr>
              <w:t>: Automated champion/challenger selection.</w:t>
            </w:r>
          </w:p>
          <w:p>
            <w:pPr>
              <w:pStyle w:val="ListBullet"/>
            </w:pPr>
            <w:r>
              <w:rPr>
                <w:rFonts w:ascii="Segoe UI" w:hAnsi="Segoe UI"/>
                <w:b/>
                <w:color w:val="333333"/>
                <w:sz w:val="22"/>
              </w:rPr>
              <w:t>Confidence Modeling</w:t>
            </w:r>
            <w:r>
              <w:rPr>
                <w:rFonts w:ascii="Segoe UI" w:hAnsi="Segoe UI"/>
                <w:color w:val="333333"/>
                <w:sz w:val="22"/>
              </w:rPr>
              <w:t>: "High Trust" 90-day utilization logic.</w:t>
            </w:r>
          </w:p>
          <w:p>
            <w:pPr>
              <w:pStyle w:val="ListBullet"/>
            </w:pPr>
            <w:r>
              <w:rPr>
                <w:rFonts w:ascii="Segoe UI" w:hAnsi="Segoe UI"/>
                <w:b/>
                <w:color w:val="333333"/>
                <w:sz w:val="22"/>
              </w:rPr>
              <w:t>Domain Expertise</w:t>
            </w:r>
            <w:r>
              <w:rPr>
                <w:rFonts w:ascii="Segoe UI" w:hAnsi="Segoe UI"/>
                <w:color w:val="333333"/>
                <w:sz w:val="22"/>
              </w:rPr>
              <w:t>: BMC TrueSight &amp; AppDynamics synthesis.</w:t>
            </w:r>
          </w:p>
        </w:tc>
      </w:tr>
    </w:tbl>
    <w:p>
      <w:pPr>
        <w:spacing w:before="240" w:after="120"/>
      </w:pPr>
      <w:r>
        <w:rPr>
          <w:rFonts w:ascii="Segoe UI" w:hAnsi="Segoe UI"/>
          <w:b/>
          <w:color w:val="004A99"/>
          <w:sz w:val="32"/>
          <w:u w:val="single" w:color="E07000"/>
        </w:rPr>
        <w:t>FLAGSHIP PROJECT: HORIZONSCALE AI</w:t>
      </w:r>
    </w:p>
    <w:p>
      <w:pPr>
        <w:spacing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772"/>
      </w:tblGrid>
      <w:tr>
        <w:tc>
          <w:tcPr>
            <w:tcW w:type="dxa" w:w="10800"/>
            <w:tcMar>
              <w:top w:w="0" w:type="dxa"/>
              <w:bottom w:w="0" w:type="dxa"/>
              <w:left w:w="220" w:type="dxa"/>
              <w:right w:w="0" w:type="dxa"/>
            </w:tcMar>
            <w:tcBorders>
              <w:left w:val="single" w:sz="32" w:space="0" w:color="E07000"/>
            </w:tcBorders>
          </w:tcPr>
          <w:p>
            <w:pPr>
              <w:spacing w:after="80"/>
            </w:pPr>
            <w:r>
              <w:rPr>
                <w:b/>
                <w:sz w:val="22"/>
              </w:rPr>
              <w:t>Predictive Utilization Pipeline (2,000+ Nodes)</w:t>
            </w:r>
          </w:p>
          <w:p>
            <w:pPr>
              <w:pStyle w:val="ListBullet"/>
              <w:spacing w:after="40"/>
            </w:pPr>
            <w:r>
              <w:rPr>
                <w:rFonts w:ascii="Segoe UI" w:hAnsi="Segoe UI"/>
                <w:b/>
                <w:color w:val="333333"/>
                <w:sz w:val="22"/>
              </w:rPr>
              <w:t>Turbo Prophet</w:t>
            </w:r>
            <w:r>
              <w:rPr>
                <w:rFonts w:ascii="Segoe UI" w:hAnsi="Segoe UI"/>
                <w:color w:val="333333"/>
                <w:sz w:val="22"/>
              </w:rPr>
              <w:t xml:space="preserve">: Parallel execution framework reducing cycles by </w:t>
            </w:r>
            <w:r>
              <w:rPr>
                <w:rFonts w:ascii="Segoe UI" w:hAnsi="Segoe UI"/>
                <w:b/>
                <w:color w:val="333333"/>
                <w:sz w:val="22"/>
              </w:rPr>
              <w:t>90%</w:t>
            </w:r>
            <w:r>
              <w:rPr>
                <w:rFonts w:ascii="Segoe UI" w:hAnsi="Segoe UI"/>
                <w:color w:val="333333"/>
                <w:sz w:val="22"/>
              </w:rPr>
              <w:t>.</w:t>
            </w:r>
          </w:p>
          <w:p>
            <w:pPr>
              <w:pStyle w:val="ListBullet"/>
              <w:spacing w:after="40"/>
            </w:pPr>
            <w:r>
              <w:rPr>
                <w:rFonts w:ascii="Segoe UI" w:hAnsi="Segoe UI"/>
                <w:b/>
                <w:color w:val="333333"/>
                <w:sz w:val="22"/>
              </w:rPr>
              <w:t>High-Fidelity Training</w:t>
            </w:r>
            <w:r>
              <w:rPr>
                <w:rFonts w:ascii="Segoe UI" w:hAnsi="Segoe UI"/>
                <w:color w:val="333333"/>
                <w:sz w:val="22"/>
              </w:rPr>
              <w:t>: 3-year historical synthetic foundation.</w:t>
            </w:r>
          </w:p>
          <w:p>
            <w:pPr>
              <w:pStyle w:val="ListBullet"/>
              <w:spacing w:after="40"/>
            </w:pPr>
            <w:r>
              <w:rPr>
                <w:rFonts w:ascii="Segoe UI" w:hAnsi="Segoe UI"/>
                <w:b/>
                <w:color w:val="333333"/>
                <w:sz w:val="22"/>
              </w:rPr>
              <w:t>Interactive Dashboard</w:t>
            </w:r>
            <w:r>
              <w:rPr>
                <w:rFonts w:ascii="Segoe UI" w:hAnsi="Segoe UI"/>
                <w:color w:val="333333"/>
                <w:sz w:val="22"/>
              </w:rPr>
              <w:t>: 6-month outlooks vs. historical baselines.</w:t>
            </w:r>
          </w:p>
          <w:p>
            <w:pPr>
              <w:spacing w:before="160"/>
            </w:pPr>
            <w:r>
              <w:rPr>
                <w:b/>
                <w:color w:val="FFFFFF"/>
                <w:sz w:val="18"/>
                <w:shd w:val="clear" w:color="auto" w:fill="004a99"/>
              </w:rPr>
              <w:t xml:space="preserve"> Python </w:t>
            </w:r>
            <w:r>
              <w:rPr>
                <w:sz w:val="18"/>
              </w:rPr>
              <w:t xml:space="preserve">  </w:t>
            </w:r>
            <w:r>
              <w:rPr>
                <w:b/>
                <w:color w:val="FFFFFF"/>
                <w:sz w:val="18"/>
                <w:shd w:val="clear" w:color="auto" w:fill="004a99"/>
              </w:rPr>
              <w:t xml:space="preserve"> Prophet </w:t>
            </w:r>
            <w:r>
              <w:rPr>
                <w:sz w:val="18"/>
              </w:rPr>
              <w:t xml:space="preserve">  </w:t>
            </w:r>
            <w:r>
              <w:rPr>
                <w:b/>
                <w:color w:val="FFFFFF"/>
                <w:sz w:val="18"/>
                <w:shd w:val="clear" w:color="auto" w:fill="004a99"/>
              </w:rPr>
              <w:t xml:space="preserve"> Streamlit </w:t>
            </w:r>
            <w:r>
              <w:rPr>
                <w:sz w:val="18"/>
              </w:rPr>
              <w:t xml:space="preserve">  </w:t>
            </w:r>
            <w:r>
              <w:rPr>
                <w:b/>
                <w:color w:val="FFFFFF"/>
                <w:sz w:val="18"/>
                <w:shd w:val="clear" w:color="auto" w:fill="004a99"/>
              </w:rPr>
              <w:t xml:space="preserve"> Spark </w:t>
            </w:r>
            <w:r>
              <w:rPr>
                <w:sz w:val="18"/>
              </w:rPr>
              <w:t xml:space="preserve">  </w:t>
            </w:r>
            <w:r>
              <w:rPr>
                <w:b/>
                <w:color w:val="FFFFFF"/>
                <w:sz w:val="18"/>
                <w:shd w:val="clear" w:color="auto" w:fill="004a99"/>
              </w:rPr>
              <w:t xml:space="preserve"> Multiprocessing </w:t>
            </w:r>
          </w:p>
        </w:tc>
      </w:tr>
    </w:tbl>
    <w:p>
      <w:pPr>
        <w:spacing w:after="240"/>
      </w:pPr>
    </w:p>
    <w:p>
      <w:pPr>
        <w:pBdr>
          <w:bottom w:val="single" w:sz="6" w:space="1" w:color="EEEEEE"/>
        </w:pBdr>
        <w:spacing w:before="240" w:after="120"/>
      </w:pPr>
      <w:r>
        <w:rPr>
          <w:rFonts w:ascii="Segoe UI" w:hAnsi="Segoe UI"/>
          <w:b/>
          <w:color w:val="004A99"/>
          <w:sz w:val="32"/>
        </w:rPr>
        <w:t>PROFESSIONAL EXPERIENCE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824"/>
        <w:gridCol w:w="2608"/>
      </w:tblGrid>
      <w:tr>
        <w:tc>
          <w:tcPr>
            <w:tcW w:type="dxa" w:w="7824"/>
          </w:tcPr>
          <w:p>
            <w:r>
              <w:rPr>
                <w:b/>
                <w:sz w:val="22"/>
              </w:rPr>
              <w:t>Capacity and Performance Consultant (ML &amp; Strategy)</w:t>
            </w:r>
          </w:p>
        </w:tc>
        <w:tc>
          <w:tcPr>
            <w:tcW w:type="dxa" w:w="2608"/>
          </w:tcPr>
          <w:p>
            <w:pPr>
              <w:jc w:val="right"/>
            </w:pPr>
            <w:r>
              <w:rPr>
                <w:b/>
                <w:color w:val="E07000"/>
                <w:sz w:val="20"/>
              </w:rPr>
              <w:t>2017 – Dec 2025</w:t>
            </w:r>
          </w:p>
        </w:tc>
      </w:tr>
    </w:tbl>
    <w:p>
      <w:pPr>
        <w:spacing w:after="40"/>
      </w:pPr>
      <w:r>
        <w:rPr>
          <w:i/>
          <w:color w:val="666666"/>
        </w:rPr>
        <w:t>CITI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Architected big-data forecasting for 10,000+ global servers.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 xml:space="preserve">Automated regional forecasting, reducing manual analysis by </w:t>
      </w:r>
      <w:r>
        <w:rPr>
          <w:rFonts w:ascii="Segoe UI" w:hAnsi="Segoe UI"/>
          <w:b/>
          <w:color w:val="333333"/>
          <w:sz w:val="22"/>
        </w:rPr>
        <w:t>85%</w:t>
      </w:r>
      <w:r>
        <w:rPr>
          <w:rFonts w:ascii="Segoe UI" w:hAnsi="Segoe UI"/>
          <w:color w:val="333333"/>
          <w:sz w:val="22"/>
        </w:rPr>
        <w:t>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Used BMC TrueSight and AppDynamics for proactive outage detection.</w:t>
      </w:r>
    </w:p>
    <w:p>
      <w:pPr>
        <w:spacing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824"/>
        <w:gridCol w:w="2608"/>
      </w:tblGrid>
      <w:tr>
        <w:tc>
          <w:tcPr>
            <w:tcW w:type="dxa" w:w="7824"/>
          </w:tcPr>
          <w:p>
            <w:r>
              <w:rPr>
                <w:b/>
                <w:sz w:val="22"/>
              </w:rPr>
              <w:t>Performance Engineer</w:t>
            </w:r>
          </w:p>
        </w:tc>
        <w:tc>
          <w:tcPr>
            <w:tcW w:type="dxa" w:w="2608"/>
          </w:tcPr>
          <w:p>
            <w:pPr>
              <w:jc w:val="right"/>
            </w:pPr>
            <w:r>
              <w:rPr>
                <w:b/>
                <w:color w:val="E07000"/>
                <w:sz w:val="20"/>
              </w:rPr>
              <w:t>2017 – 2017</w:t>
            </w:r>
          </w:p>
        </w:tc>
      </w:tr>
    </w:tbl>
    <w:p>
      <w:pPr>
        <w:spacing w:after="40"/>
      </w:pPr>
      <w:r>
        <w:rPr>
          <w:i/>
          <w:color w:val="666666"/>
        </w:rPr>
        <w:t>G6 Hospitality LLC &amp; HCL/ENTERGY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Managed end-to-end monitoring for Brand.com using Dynatrace AppMon and Synthetics.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Led the "FAST" project, data mining user performance metrics to optimize critical money-generating systems.</w:t>
      </w:r>
    </w:p>
    <w:p>
      <w:pPr>
        <w:spacing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824"/>
        <w:gridCol w:w="2608"/>
      </w:tblGrid>
      <w:tr>
        <w:tc>
          <w:tcPr>
            <w:tcW w:type="dxa" w:w="7824"/>
          </w:tcPr>
          <w:p>
            <w:r>
              <w:rPr>
                <w:b/>
                <w:sz w:val="22"/>
              </w:rPr>
              <w:t>Senior Consultant (CA APM Consulting)</w:t>
            </w:r>
          </w:p>
        </w:tc>
        <w:tc>
          <w:tcPr>
            <w:tcW w:type="dxa" w:w="2608"/>
          </w:tcPr>
          <w:p>
            <w:pPr>
              <w:jc w:val="right"/>
            </w:pPr>
            <w:r>
              <w:rPr>
                <w:b/>
                <w:color w:val="E07000"/>
                <w:sz w:val="20"/>
              </w:rPr>
              <w:t>2012 – 2017</w:t>
            </w:r>
          </w:p>
        </w:tc>
      </w:tr>
    </w:tbl>
    <w:p>
      <w:pPr>
        <w:spacing w:after="40"/>
      </w:pPr>
      <w:r>
        <w:rPr>
          <w:i/>
          <w:color w:val="666666"/>
        </w:rPr>
        <w:t>CA Technologies &amp; TIAA-CREF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Led enterprise CA APM implementations and upgrades (v9.1 → v10.1) for financial clients, managing 4,000–6,000 agents across multi-cluster environments.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Served as CA APM SME, handling daily operations, cluster maintenance, agent/Power Pack rollouts, and performance bottleneck resolution in J2EE/.NET stacks.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Designed custom dashboards, alerts, reports, and Perl/Ksh data-extraction scripts to deliver actionable insights for business-critical monitoring.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Provided architectural sizing recommendations, Golden Image creation, client training, and technical team leadership for APM deployments.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Optimized large-scale CA Wily Introscope installations, resolving complex issues in high-stakes financial services environments.</w:t>
      </w:r>
    </w:p>
    <w:p>
      <w:pPr>
        <w:spacing w:after="120"/>
      </w:pPr>
    </w:p>
    <w:p>
      <w:pPr>
        <w:pBdr>
          <w:bottom w:val="single" w:sz="6" w:space="1" w:color="EEEEEE"/>
        </w:pBdr>
        <w:spacing w:before="240" w:after="120"/>
      </w:pPr>
      <w:r>
        <w:rPr>
          <w:rFonts w:ascii="Segoe UI" w:hAnsi="Segoe UI"/>
          <w:b/>
          <w:color w:val="004A99"/>
          <w:sz w:val="32"/>
        </w:rPr>
        <w:t>EXPERIENCE HISTORY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824"/>
        <w:gridCol w:w="2608"/>
      </w:tblGrid>
      <w:tr>
        <w:tc>
          <w:tcPr>
            <w:tcW w:type="dxa" w:w="7824"/>
          </w:tcPr>
          <w:p>
            <w:r>
              <w:rPr>
                <w:b/>
                <w:sz w:val="22"/>
              </w:rPr>
              <w:t>AT&amp;T</w:t>
            </w:r>
          </w:p>
        </w:tc>
        <w:tc>
          <w:tcPr>
            <w:tcW w:type="dxa" w:w="2608"/>
          </w:tcPr>
          <w:p>
            <w:pPr>
              <w:jc w:val="right"/>
            </w:pPr>
            <w:r>
              <w:rPr>
                <w:b/>
                <w:color w:val="E07000"/>
                <w:sz w:val="20"/>
              </w:rPr>
              <w:t>2010 – 2011</w:t>
            </w:r>
          </w:p>
        </w:tc>
      </w:tr>
    </w:tbl>
    <w:p>
      <w:pPr>
        <w:spacing w:after="40"/>
      </w:pPr>
      <w:r>
        <w:rPr>
          <w:i/>
          <w:color w:val="666666"/>
        </w:rPr>
        <w:t>Senior performance Test Engineer</w:t>
      </w:r>
    </w:p>
    <w:p>
      <w:pPr>
        <w:spacing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824"/>
        <w:gridCol w:w="2608"/>
      </w:tblGrid>
      <w:tr>
        <w:tc>
          <w:tcPr>
            <w:tcW w:type="dxa" w:w="7824"/>
          </w:tcPr>
          <w:p>
            <w:r>
              <w:rPr>
                <w:b/>
                <w:sz w:val="22"/>
              </w:rPr>
              <w:t>Sabre</w:t>
            </w:r>
          </w:p>
        </w:tc>
        <w:tc>
          <w:tcPr>
            <w:tcW w:type="dxa" w:w="2608"/>
          </w:tcPr>
          <w:p>
            <w:pPr>
              <w:jc w:val="right"/>
            </w:pPr>
            <w:r>
              <w:rPr>
                <w:b/>
                <w:color w:val="E07000"/>
                <w:sz w:val="20"/>
              </w:rPr>
              <w:t>2008 – 2012</w:t>
            </w:r>
          </w:p>
        </w:tc>
      </w:tr>
    </w:tbl>
    <w:p>
      <w:pPr>
        <w:spacing w:after="40"/>
      </w:pPr>
      <w:r>
        <w:rPr>
          <w:i/>
          <w:color w:val="666666"/>
        </w:rPr>
        <w:t>Senior Developer - C++, Java, Backend Architecture</w:t>
      </w:r>
    </w:p>
    <w:p>
      <w:pPr>
        <w:spacing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824"/>
        <w:gridCol w:w="2608"/>
      </w:tblGrid>
      <w:tr>
        <w:tc>
          <w:tcPr>
            <w:tcW w:type="dxa" w:w="7824"/>
          </w:tcPr>
          <w:p>
            <w:r>
              <w:rPr>
                <w:b/>
                <w:sz w:val="22"/>
              </w:rPr>
              <w:t>Software Engineer</w:t>
            </w:r>
          </w:p>
        </w:tc>
        <w:tc>
          <w:tcPr>
            <w:tcW w:type="dxa" w:w="2608"/>
          </w:tcPr>
          <w:p>
            <w:pPr>
              <w:jc w:val="right"/>
            </w:pPr>
            <w:r>
              <w:rPr>
                <w:b/>
                <w:color w:val="E07000"/>
                <w:sz w:val="20"/>
              </w:rPr>
              <w:t>2000 – 2008</w:t>
            </w:r>
          </w:p>
        </w:tc>
      </w:tr>
    </w:tbl>
    <w:p>
      <w:pPr>
        <w:spacing w:after="40"/>
      </w:pPr>
      <w:r>
        <w:rPr>
          <w:i/>
          <w:color w:val="666666"/>
        </w:rPr>
        <w:t>Full-Stack Development</w:t>
      </w:r>
    </w:p>
    <w:p>
      <w:pPr>
        <w:spacing w:after="120"/>
      </w:pPr>
    </w:p>
    <w:p>
      <w:pPr>
        <w:pBdr>
          <w:bottom w:val="single" w:sz="6" w:space="1" w:color="EEEEEE"/>
        </w:pBdr>
        <w:spacing w:before="240" w:after="120"/>
      </w:pPr>
      <w:r>
        <w:rPr>
          <w:rFonts w:ascii="Segoe UI" w:hAnsi="Segoe UI"/>
          <w:b/>
          <w:color w:val="004A99"/>
          <w:sz w:val="32"/>
        </w:rPr>
        <w:t>EDUCATION &amp; CERTIFICATIONS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824"/>
        <w:gridCol w:w="2608"/>
      </w:tblGrid>
      <w:tr>
        <w:tc>
          <w:tcPr>
            <w:tcW w:type="dxa" w:w="7824"/>
          </w:tcPr>
          <w:p>
            <w:r>
              <w:rPr>
                <w:b/>
                <w:sz w:val="22"/>
              </w:rPr>
              <w:t>Post-Graduate Diploma, Computer Science</w:t>
            </w:r>
          </w:p>
        </w:tc>
        <w:tc>
          <w:tcPr>
            <w:tcW w:type="dxa" w:w="2608"/>
          </w:tcPr>
          <w:p>
            <w:pPr>
              <w:jc w:val="right"/>
            </w:pPr>
            <w:r>
              <w:rPr>
                <w:b/>
                <w:color w:val="E07000"/>
                <w:sz w:val="20"/>
              </w:rPr>
            </w:r>
          </w:p>
        </w:tc>
      </w:tr>
    </w:tbl>
    <w:p>
      <w:pPr>
        <w:spacing w:after="40"/>
      </w:pPr>
      <w:r>
        <w:rPr>
          <w:i/>
          <w:color w:val="666666"/>
        </w:rPr>
        <w:t>Humber College</w:t>
      </w:r>
    </w:p>
    <w:p>
      <w:pPr>
        <w:spacing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824"/>
        <w:gridCol w:w="2608"/>
      </w:tblGrid>
      <w:tr>
        <w:tc>
          <w:tcPr>
            <w:tcW w:type="dxa" w:w="7824"/>
          </w:tcPr>
          <w:p>
            <w:r>
              <w:rPr>
                <w:b/>
                <w:sz w:val="22"/>
              </w:rPr>
              <w:t>Bachelor of Science, Engineering</w:t>
            </w:r>
          </w:p>
        </w:tc>
        <w:tc>
          <w:tcPr>
            <w:tcW w:type="dxa" w:w="2608"/>
          </w:tcPr>
          <w:p>
            <w:pPr>
              <w:jc w:val="right"/>
            </w:pPr>
            <w:r>
              <w:rPr>
                <w:b/>
                <w:color w:val="E07000"/>
                <w:sz w:val="20"/>
              </w:rPr>
            </w:r>
          </w:p>
        </w:tc>
      </w:tr>
    </w:tbl>
    <w:p>
      <w:pPr>
        <w:spacing w:after="40"/>
      </w:pPr>
      <w:r>
        <w:rPr>
          <w:i/>
          <w:color w:val="666666"/>
        </w:rPr>
        <w:t>Zagazig University</w:t>
      </w:r>
    </w:p>
    <w:p>
      <w:pPr>
        <w:spacing w:after="120"/>
      </w:pPr>
    </w:p>
    <w:sectPr w:rsidR="00FC693F" w:rsidRPr="0006063C" w:rsidSect="00034616">
      <w:footerReference w:type="default" r:id="rId12"/>
      <w:pgSz w:w="12240" w:h="15840"/>
      <w:pgMar w:top="360" w:right="720" w:bottom="36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666666"/>
        <w:sz w:val="16"/>
      </w:rPr>
      <w:t>Sean Luka Girgis</w:t>
    </w:r>
    <w:r>
      <w:rPr>
        <w:color w:val="666666"/>
        <w:sz w:val="16"/>
      </w:rPr>
      <w:t xml:space="preserve"> | </w:t>
    </w:r>
    <w:r>
      <w:rPr>
        <w:color w:val="666666"/>
        <w:sz w:val="16"/>
      </w:rPr>
      <w:t xml:space="preserve">Page </w:t>
    </w:r>
    <w:r>
      <w:fldChar w:fldCharType="begin"/>
      <w:instrText xml:space="preserve">PAGE</w:instrText>
      <w:fldChar w:fldCharType="end"/>
    </w:r>
    <w:r>
      <w:rPr>
        <w:color w:val="666666"/>
        <w:sz w:val="16"/>
      </w:rPr>
      <w:t xml:space="preserve"> of </w:t>
    </w:r>
    <w: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eanlgirgis@gmail.com" TargetMode="External"/><Relationship Id="rId10" Type="http://schemas.openxmlformats.org/officeDocument/2006/relationships/hyperlink" Target="https://github.com/seanlgirgis" TargetMode="External"/><Relationship Id="rId11" Type="http://schemas.openxmlformats.org/officeDocument/2006/relationships/hyperlink" Target="https://www.linkedin.com/in/sean-girgis-43bb1b5/" TargetMode="Externa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