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4A99"/>
          <w:sz w:val="56"/>
        </w:rPr>
        <w:t>SEAN LUKA GIRGIS</w:t>
      </w:r>
    </w:p>
    <w:p>
      <w:pPr>
        <w:jc w:val="center"/>
      </w:pPr>
      <w:r>
        <w:rPr>
          <w:color w:val="646464"/>
          <w:sz w:val="22"/>
        </w:rPr>
        <w:t>Senior Data Engineer | Capacity &amp; Infrastructure Optimization</w:t>
      </w:r>
    </w:p>
    <w:p>
      <w:pPr>
        <w:jc w:val="center"/>
      </w:pPr>
      <w:hyperlink r:id="rId9">
        <w:r>
          <w:rPr>
            <w:color w:val="333333"/>
          </w:rPr>
          <w:t>seanlgirgis.github.io</w:t>
        </w:r>
      </w:hyperlink>
      <w:r>
        <w:rPr>
          <w:sz w:val="20"/>
        </w:rPr>
        <w:t xml:space="preserve"> | </w:t>
      </w:r>
      <w:r>
        <w:rPr>
          <w:color w:val="333333"/>
          <w:sz w:val="20"/>
        </w:rPr>
        <w:t>214-315-2190</w:t>
      </w:r>
      <w:r>
        <w:rPr>
          <w:sz w:val="20"/>
        </w:rPr>
        <w:t xml:space="preserve"> | </w:t>
      </w:r>
      <w:hyperlink r:id="rId10">
        <w:r>
          <w:rPr>
            <w:color w:val="333333"/>
          </w:rPr>
          <w:t>seanlgirgis@gmail.com</w:t>
        </w:r>
      </w:hyperlink>
      <w:r>
        <w:rPr>
          <w:sz w:val="20"/>
        </w:rPr>
        <w:t xml:space="preserve"> | </w:t>
      </w:r>
      <w:hyperlink r:id="rId11">
        <w:r>
          <w:rPr>
            <w:color w:val="004a99"/>
          </w:rPr>
          <w:t>GitHub</w:t>
        </w:r>
      </w:hyperlink>
      <w:r>
        <w:rPr>
          <w:sz w:val="20"/>
        </w:rPr>
        <w:t xml:space="preserve"> | </w:t>
      </w:r>
      <w:hyperlink r:id="rId12">
        <w:r>
          <w:rPr>
            <w:color w:val="004a99"/>
          </w:rPr>
          <w:t>LinkedIn</w:t>
        </w:r>
      </w:hyperlink>
      <w:r>
        <w:rPr>
          <w:sz w:val="20"/>
        </w:rPr>
        <w:t xml:space="preserve"> | </w:t>
      </w:r>
      <w:hyperlink r:id="rId13">
        <w:r>
          <w:rPr>
            <w:color w:val="004a99"/>
          </w:rPr>
          <w:t>X / Twitter</w:t>
        </w:r>
      </w:hyperlink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shd w:val="clear" w:color="auto" w:fill="F2F2F2"/>
            <w:tcMar>
              <w:top w:w="220" w:type="dxa"/>
              <w:bottom w:w="220" w:type="dxa"/>
              <w:left w:w="220" w:type="dxa"/>
              <w:right w:w="220" w:type="dxa"/>
            </w:tcMar>
            <w:tcBorders>
              <w:left w:val="single" w:sz="64" w:space="0" w:color="004a99"/>
            </w:tcBorders>
          </w:tcPr>
          <w:p>
            <w:pPr>
              <w:spacing w:before="0" w:after="0" w:line="288" w:lineRule="auto"/>
            </w:pPr>
            <w:r>
              <w:rPr>
                <w:rFonts w:ascii="Segoe UI" w:hAnsi="Segoe UI"/>
                <w:b/>
                <w:color w:val="333333"/>
                <w:sz w:val="22"/>
              </w:rPr>
              <w:t>Senior Data Engineer</w:t>
            </w:r>
            <w:r>
              <w:rPr>
                <w:rFonts w:ascii="Segoe UI" w:hAnsi="Segoe UI"/>
                <w:color w:val="333333"/>
                <w:sz w:val="22"/>
              </w:rPr>
              <w:t xml:space="preserve"> with 20+ years of experience specializing in </w:t>
            </w:r>
            <w:r>
              <w:rPr>
                <w:rFonts w:ascii="Segoe UI" w:hAnsi="Segoe UI"/>
                <w:b/>
                <w:color w:val="333333"/>
                <w:sz w:val="22"/>
              </w:rPr>
              <w:t>high-throughput systems</w:t>
            </w:r>
            <w:r>
              <w:rPr>
                <w:rFonts w:ascii="Segoe UI" w:hAnsi="Segoe UI"/>
                <w:color w:val="333333"/>
                <w:sz w:val="22"/>
              </w:rPr>
              <w:t xml:space="preserve"> and </w:t>
            </w:r>
            <w:r>
              <w:rPr>
                <w:rFonts w:ascii="Segoe UI" w:hAnsi="Segoe UI"/>
                <w:b/>
                <w:color w:val="333333"/>
                <w:sz w:val="22"/>
              </w:rPr>
              <w:t>large-scale data migration</w:t>
            </w:r>
            <w:r>
              <w:rPr>
                <w:rFonts w:ascii="Segoe UI" w:hAnsi="Segoe UI"/>
                <w:color w:val="333333"/>
                <w:sz w:val="22"/>
              </w:rPr>
              <w:t xml:space="preserve"> (Sabre, Citi). Expert in building </w:t>
            </w:r>
            <w:r>
              <w:rPr>
                <w:rFonts w:ascii="Segoe UI" w:hAnsi="Segoe UI"/>
                <w:b/>
                <w:color w:val="333333"/>
                <w:sz w:val="22"/>
              </w:rPr>
              <w:t>automated ETL pipelines</w:t>
            </w:r>
            <w:r>
              <w:rPr>
                <w:rFonts w:ascii="Segoe UI" w:hAnsi="Segoe UI"/>
                <w:color w:val="333333"/>
                <w:sz w:val="22"/>
              </w:rPr>
              <w:t xml:space="preserve"> to transform massive telemetry streams into </w:t>
            </w:r>
            <w:r>
              <w:rPr>
                <w:rFonts w:ascii="Segoe UI" w:hAnsi="Segoe UI"/>
                <w:b/>
                <w:color w:val="333333"/>
                <w:sz w:val="22"/>
              </w:rPr>
              <w:t>predictive capacity models</w:t>
            </w:r>
            <w:r>
              <w:rPr>
                <w:rFonts w:ascii="Segoe UI" w:hAnsi="Segoe UI"/>
                <w:color w:val="333333"/>
                <w:sz w:val="22"/>
              </w:rPr>
              <w:t xml:space="preserve">. Proven track record of optimizing distributed environments with </w:t>
            </w:r>
            <w:r>
              <w:rPr>
                <w:rFonts w:ascii="Segoe UI" w:hAnsi="Segoe UI"/>
                <w:b/>
                <w:color w:val="333333"/>
                <w:sz w:val="22"/>
              </w:rPr>
              <w:t>6,000+ endpoints</w:t>
            </w:r>
            <w:r>
              <w:rPr>
                <w:rFonts w:ascii="Segoe UI" w:hAnsi="Segoe UI"/>
                <w:color w:val="333333"/>
                <w:sz w:val="22"/>
              </w:rPr>
              <w:t xml:space="preserve"> using </w:t>
            </w:r>
            <w:r>
              <w:rPr>
                <w:rFonts w:ascii="Segoe UI" w:hAnsi="Segoe UI"/>
                <w:b/>
                <w:color w:val="333333"/>
                <w:sz w:val="22"/>
              </w:rPr>
              <w:t>Python</w:t>
            </w:r>
            <w:r>
              <w:rPr>
                <w:rFonts w:ascii="Segoe UI" w:hAnsi="Segoe UI"/>
                <w:color w:val="333333"/>
                <w:sz w:val="22"/>
              </w:rPr>
              <w:t xml:space="preserve">, </w:t>
            </w:r>
            <w:r>
              <w:rPr>
                <w:rFonts w:ascii="Segoe UI" w:hAnsi="Segoe UI"/>
                <w:b/>
                <w:color w:val="333333"/>
                <w:sz w:val="22"/>
              </w:rPr>
              <w:t>SQL</w:t>
            </w:r>
            <w:r>
              <w:rPr>
                <w:rFonts w:ascii="Segoe UI" w:hAnsi="Segoe UI"/>
                <w:color w:val="333333"/>
                <w:sz w:val="22"/>
              </w:rPr>
              <w:t xml:space="preserve">, and </w:t>
            </w:r>
            <w:r>
              <w:rPr>
                <w:rFonts w:ascii="Segoe UI" w:hAnsi="Segoe UI"/>
                <w:b/>
                <w:color w:val="333333"/>
                <w:sz w:val="22"/>
              </w:rPr>
              <w:t>PySpark</w:t>
            </w:r>
            <w:r>
              <w:rPr>
                <w:rFonts w:ascii="Segoe UI" w:hAnsi="Segoe UI"/>
                <w:color w:val="333333"/>
                <w:sz w:val="22"/>
              </w:rPr>
              <w:t>.</w:t>
              <w:br/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CORE SKILLS MATRIX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Data Engineering &amp; Cloud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Pipeline:</w:t>
            </w:r>
            <w:r>
              <w:rPr>
                <w:rFonts w:ascii="Segoe UI" w:hAnsi="Segoe UI"/>
                <w:color w:val="333333"/>
                <w:sz w:val="22"/>
              </w:rPr>
              <w:t xml:space="preserve"> Python (Pandas/Generators), SQL (Oracle/Postgres), PySpark.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Cloud:</w:t>
            </w:r>
            <w:r>
              <w:rPr>
                <w:rFonts w:ascii="Segoe UI" w:hAnsi="Segoe UI"/>
                <w:color w:val="333333"/>
                <w:sz w:val="22"/>
              </w:rPr>
              <w:t xml:space="preserve"> AWS S3 (Lifecycle Rules), Glue, Athena.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Big Data:</w:t>
            </w:r>
            <w:r>
              <w:rPr>
                <w:rFonts w:ascii="Segoe UI" w:hAnsi="Segoe UI"/>
                <w:color w:val="333333"/>
                <w:sz w:val="22"/>
              </w:rPr>
              <w:t xml:space="preserve"> Oracle Partitioning, Parquet Optimization.</w:t>
            </w:r>
          </w:p>
        </w:tc>
        <w:tc>
          <w:tcPr>
            <w:tcW w:type="dxa" w:w="5400"/>
          </w:tcPr>
          <w:p>
            <w:r>
              <w:rPr>
                <w:b/>
                <w:color w:val="004A99"/>
                <w:sz w:val="22"/>
              </w:rPr>
              <w:t>High-Performance Systems &amp; AI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Forecasting:</w:t>
            </w:r>
            <w:r>
              <w:rPr>
                <w:rFonts w:ascii="Segoe UI" w:hAnsi="Segoe UI"/>
                <w:color w:val="333333"/>
                <w:sz w:val="22"/>
              </w:rPr>
              <w:t xml:space="preserve"> Prophet, Scikit-learn, Time-Series Modeling.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Backend:</w:t>
            </w:r>
            <w:r>
              <w:rPr>
                <w:rFonts w:ascii="Segoe UI" w:hAnsi="Segoe UI"/>
                <w:color w:val="333333"/>
                <w:sz w:val="22"/>
              </w:rPr>
              <w:t xml:space="preserve"> C++, OCCI, Java, Multiprocessing, Linux/Shell.</w:t>
            </w:r>
          </w:p>
          <w:p>
            <w:pPr>
              <w:pStyle w:val="ListBullet"/>
            </w:pPr>
            <w:r>
              <w:rPr>
                <w:rFonts w:ascii="Segoe UI" w:hAnsi="Segoe UI"/>
                <w:b/>
                <w:color w:val="333333"/>
                <w:sz w:val="22"/>
              </w:rPr>
              <w:t>Tools:</w:t>
            </w:r>
            <w:r>
              <w:rPr>
                <w:rFonts w:ascii="Segoe UI" w:hAnsi="Segoe UI"/>
                <w:color w:val="333333"/>
                <w:sz w:val="22"/>
              </w:rPr>
              <w:t xml:space="preserve"> Airflow, Git, Docker, BMC TrueSight, AppDynamics.</w:t>
            </w:r>
          </w:p>
        </w:tc>
      </w:tr>
    </w:tbl>
    <w:p>
      <w:pPr>
        <w:spacing w:before="240" w:after="120"/>
      </w:pPr>
      <w:r>
        <w:rPr>
          <w:rFonts w:ascii="Segoe UI" w:hAnsi="Segoe UI"/>
          <w:b/>
          <w:color w:val="004A99"/>
          <w:sz w:val="32"/>
          <w:u w:val="single" w:color="E07000"/>
        </w:rPr>
        <w:t>FLAGSHIP PROJECT: HORIZONSCALE AI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772"/>
      </w:tblGrid>
      <w:tr>
        <w:tc>
          <w:tcPr>
            <w:tcW w:type="dxa" w:w="10800"/>
            <w:tcMar>
              <w:top w:w="0" w:type="dxa"/>
              <w:bottom w:w="0" w:type="dxa"/>
              <w:left w:w="220" w:type="dxa"/>
              <w:right w:w="0" w:type="dxa"/>
            </w:tcMar>
            <w:tcBorders>
              <w:left w:val="single" w:sz="32" w:space="0" w:color="E07000"/>
            </w:tcBorders>
          </w:tcPr>
          <w:p>
            <w:pPr>
              <w:spacing w:after="80"/>
            </w:pPr>
            <w:r>
              <w:rPr>
                <w:b/>
                <w:sz w:val="22"/>
              </w:rPr>
              <w:t>Project: HorizonScale — Modernizing Enterprise Capacity with AI &amp; PySpark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Why I built this:</w:t>
            </w:r>
            <w:r>
              <w:rPr>
                <w:rFonts w:ascii="Segoe UI" w:hAnsi="Segoe UI"/>
                <w:color w:val="333333"/>
                <w:sz w:val="22"/>
              </w:rPr>
              <w:t xml:space="preserve"> To replace legacy, manual 'Trenda' processes with a modern, agentic data pipeline capable of handling banking-scale telemetry.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Turbo Prophet:</w:t>
            </w:r>
            <w:r>
              <w:rPr>
                <w:rFonts w:ascii="Segoe UI" w:hAnsi="Segoe UI"/>
                <w:color w:val="333333"/>
                <w:sz w:val="22"/>
              </w:rPr>
              <w:t xml:space="preserve"> Architected parallel generator-based pipeline reducing forecasting cycles by </w:t>
            </w:r>
            <w:r>
              <w:rPr>
                <w:rFonts w:ascii="Segoe UI" w:hAnsi="Segoe UI"/>
                <w:b/>
                <w:color w:val="333333"/>
                <w:sz w:val="22"/>
              </w:rPr>
              <w:t>90%</w:t>
            </w:r>
            <w:r>
              <w:rPr>
                <w:rFonts w:ascii="Segoe UI" w:hAnsi="Segoe UI"/>
                <w:color w:val="333333"/>
                <w:sz w:val="22"/>
              </w:rPr>
              <w:t>.</w:t>
            </w:r>
          </w:p>
          <w:p>
            <w:pPr>
              <w:pStyle w:val="ListBullet"/>
              <w:spacing w:after="40"/>
            </w:pPr>
            <w:r>
              <w:rPr>
                <w:rFonts w:ascii="Segoe UI" w:hAnsi="Segoe UI"/>
                <w:b/>
                <w:color w:val="333333"/>
                <w:sz w:val="22"/>
              </w:rPr>
              <w:t>Visual Analytics:</w:t>
            </w:r>
            <w:r>
              <w:rPr>
                <w:rFonts w:ascii="Segoe UI" w:hAnsi="Segoe UI"/>
                <w:color w:val="333333"/>
                <w:sz w:val="22"/>
              </w:rPr>
              <w:t xml:space="preserve"> Built interactive Streamlit dashboard serving real-time capacity insights and 'High Trust' utilization scores.</w:t>
            </w:r>
          </w:p>
          <w:p>
            <w:pPr>
              <w:spacing w:before="160"/>
            </w:pPr>
            <w:r>
              <w:rPr>
                <w:b/>
                <w:color w:val="FFFFFF"/>
                <w:sz w:val="18"/>
                <w:shd w:val="clear" w:color="auto" w:fill="004a99"/>
              </w:rPr>
              <w:t xml:space="preserve"> Python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Prophet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Streamlit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Spark </w:t>
            </w:r>
            <w:r>
              <w:rPr>
                <w:sz w:val="18"/>
              </w:rPr>
              <w:t xml:space="preserve">  </w:t>
            </w:r>
            <w:r>
              <w:rPr>
                <w:b/>
                <w:color w:val="FFFFFF"/>
                <w:sz w:val="18"/>
                <w:shd w:val="clear" w:color="auto" w:fill="004a99"/>
              </w:rPr>
              <w:t xml:space="preserve"> Multiprocessing </w:t>
            </w:r>
          </w:p>
        </w:tc>
      </w:tr>
    </w:tbl>
    <w:p>
      <w:pPr>
        <w:spacing w:after="24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PROFESSIONAL EXPERIENCE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Capacity &amp; Data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Dec 2025</w:t>
            </w:r>
          </w:p>
        </w:tc>
      </w:tr>
    </w:tbl>
    <w:p>
      <w:pPr>
        <w:spacing w:after="40"/>
      </w:pPr>
      <w:r>
        <w:rPr>
          <w:i/>
          <w:color w:val="666666"/>
        </w:rPr>
        <w:t>CITI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Architected automated </w:t>
      </w:r>
      <w:r>
        <w:rPr>
          <w:rFonts w:ascii="Segoe UI" w:hAnsi="Segoe UI"/>
          <w:b/>
          <w:color w:val="333333"/>
          <w:sz w:val="22"/>
        </w:rPr>
        <w:t>ETL pipelines</w:t>
      </w:r>
      <w:r>
        <w:rPr>
          <w:rFonts w:ascii="Segoe UI" w:hAnsi="Segoe UI"/>
          <w:color w:val="333333"/>
          <w:sz w:val="22"/>
        </w:rPr>
        <w:t xml:space="preserve"> using </w:t>
      </w:r>
      <w:r>
        <w:rPr>
          <w:rFonts w:ascii="Segoe UI" w:hAnsi="Segoe UI"/>
          <w:b/>
          <w:color w:val="333333"/>
          <w:sz w:val="22"/>
        </w:rPr>
        <w:t>Python</w:t>
      </w:r>
      <w:r>
        <w:rPr>
          <w:rFonts w:ascii="Segoe UI" w:hAnsi="Segoe UI"/>
          <w:color w:val="333333"/>
          <w:sz w:val="22"/>
        </w:rPr>
        <w:t xml:space="preserve"> and </w:t>
      </w:r>
      <w:r>
        <w:rPr>
          <w:rFonts w:ascii="Segoe UI" w:hAnsi="Segoe UI"/>
          <w:b/>
          <w:color w:val="333333"/>
          <w:sz w:val="22"/>
        </w:rPr>
        <w:t>Pandas</w:t>
      </w:r>
      <w:r>
        <w:rPr>
          <w:rFonts w:ascii="Segoe UI" w:hAnsi="Segoe UI"/>
          <w:color w:val="333333"/>
          <w:sz w:val="22"/>
        </w:rPr>
        <w:t xml:space="preserve"> to ingest P95 performance telemetry from 6,000+ endpoints (</w:t>
      </w:r>
      <w:r>
        <w:rPr>
          <w:rFonts w:ascii="Segoe UI" w:hAnsi="Segoe UI"/>
          <w:b/>
          <w:color w:val="333333"/>
          <w:sz w:val="22"/>
        </w:rPr>
        <w:t>BMC TrueSight/TSCO</w:t>
      </w:r>
      <w:r>
        <w:rPr>
          <w:rFonts w:ascii="Segoe UI" w:hAnsi="Segoe UI"/>
          <w:color w:val="333333"/>
          <w:sz w:val="22"/>
        </w:rPr>
        <w:t>), replacing manual Trenda processes.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Designed and optimized </w:t>
      </w:r>
      <w:r>
        <w:rPr>
          <w:rFonts w:ascii="Segoe UI" w:hAnsi="Segoe UI"/>
          <w:b/>
          <w:color w:val="333333"/>
          <w:sz w:val="22"/>
        </w:rPr>
        <w:t>Oracle Database</w:t>
      </w:r>
      <w:r>
        <w:rPr>
          <w:rFonts w:ascii="Segoe UI" w:hAnsi="Segoe UI"/>
          <w:color w:val="333333"/>
          <w:sz w:val="22"/>
        </w:rPr>
        <w:t xml:space="preserve"> schemas for historical data retention, enabling long-term trend analysis and seasonal risk forecasting.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Developed </w:t>
      </w:r>
      <w:r>
        <w:rPr>
          <w:rFonts w:ascii="Segoe UI" w:hAnsi="Segoe UI"/>
          <w:b/>
          <w:color w:val="333333"/>
          <w:sz w:val="22"/>
        </w:rPr>
        <w:t>ML-driven forecasting models</w:t>
      </w:r>
      <w:r>
        <w:rPr>
          <w:rFonts w:ascii="Segoe UI" w:hAnsi="Segoe UI"/>
          <w:color w:val="333333"/>
          <w:sz w:val="22"/>
        </w:rPr>
        <w:t xml:space="preserve"> using Prophet and scikit-learn to predict infrastructure bottlenecks 6 months in advance, improving provisioning accuracy.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 xml:space="preserve">Integrated disparate data feeds (CSV, Excel, TSCO) into a unified </w:t>
      </w:r>
      <w:r>
        <w:rPr>
          <w:rFonts w:ascii="Segoe UI" w:hAnsi="Segoe UI"/>
          <w:b/>
          <w:color w:val="333333"/>
          <w:sz w:val="22"/>
        </w:rPr>
        <w:t>Oracle</w:t>
      </w:r>
      <w:r>
        <w:rPr>
          <w:rFonts w:ascii="Segoe UI" w:hAnsi="Segoe UI"/>
          <w:color w:val="333333"/>
          <w:sz w:val="22"/>
        </w:rPr>
        <w:t xml:space="preserve"> reporting framework, providing executive dashboards with real-time utilization insights.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Performance Engineer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2017 – 2017</w:t>
            </w:r>
          </w:p>
        </w:tc>
      </w:tr>
    </w:tbl>
    <w:p>
      <w:pPr>
        <w:spacing w:after="40"/>
      </w:pPr>
      <w:r>
        <w:rPr>
          <w:i/>
          <w:color w:val="666666"/>
        </w:rPr>
        <w:t>G6 Hospitality LLC &amp; HCL/ENTERGY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Managed end-to-end monitoring for Brand.com using Dynatrace AppMon and Synthetics.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the "FAST" project, data mining user performance metrics to optimize critical money-generating systems.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Senior Consultant (CA APM Consulting)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2012 – 2017</w:t>
            </w:r>
          </w:p>
        </w:tc>
      </w:tr>
    </w:tbl>
    <w:p>
      <w:pPr>
        <w:spacing w:after="40"/>
      </w:pPr>
      <w:r>
        <w:rPr>
          <w:i/>
          <w:color w:val="666666"/>
        </w:rPr>
        <w:t>CA Technologies &amp; TIAA-CREF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Led enterprise CA APM implementations and upgrades (v9.1 → v10.1) for financial clients, managing 4,000–6,000 agents across multi-cluster environments.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Served as CA APM SME, handling daily operations, cluster maintenance, agent/Power Pack rollouts, and performance bottleneck resolution in J2EE/.NET stacks.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Designed custom dashboards, alerts, reports, and Perl/Ksh data-extraction scripts to deliver actionable insights for business-critical monitoring.</w:t>
      </w:r>
    </w:p>
    <w:p>
      <w:pPr>
        <w:pStyle w:val="ListBullet"/>
      </w:pPr>
      <w:r>
        <w:rPr>
          <w:rFonts w:ascii="Segoe UI" w:hAnsi="Segoe UI"/>
          <w:color w:val="333333"/>
          <w:sz w:val="22"/>
        </w:rPr>
        <w:t>Provided architectural sizing recommendations, Golden Image creation, client training, and technical team leadership for APM deployments.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EXPERIENCE HISTORY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Sabre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2008 – 2012</w:t>
            </w:r>
          </w:p>
        </w:tc>
      </w:tr>
    </w:tbl>
    <w:p>
      <w:pPr>
        <w:spacing w:after="40"/>
      </w:pPr>
      <w:r>
        <w:rPr>
          <w:i/>
          <w:color w:val="666666"/>
        </w:rPr>
        <w:t>Senior Systems &amp; Data Migration Engineer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Sprint/Corpus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  <w:t>2001 – 2008</w:t>
            </w:r>
          </w:p>
        </w:tc>
      </w:tr>
    </w:tbl>
    <w:p>
      <w:pPr>
        <w:spacing w:after="40"/>
      </w:pPr>
      <w:r>
        <w:rPr>
          <w:i/>
          <w:color w:val="666666"/>
        </w:rPr>
        <w:t>Developer - High Availability Interfaces (C++)</w:t>
      </w:r>
    </w:p>
    <w:p>
      <w:pPr>
        <w:spacing w:after="120"/>
      </w:pPr>
    </w:p>
    <w:p>
      <w:pPr>
        <w:pBdr>
          <w:bottom w:val="single" w:sz="6" w:space="1" w:color="EEEEEE"/>
        </w:pBdr>
        <w:spacing w:before="240" w:after="120"/>
      </w:pPr>
      <w:r>
        <w:rPr>
          <w:rFonts w:ascii="Segoe UI" w:hAnsi="Segoe UI"/>
          <w:b/>
          <w:color w:val="004A99"/>
          <w:sz w:val="32"/>
        </w:rPr>
        <w:t>EDUCATION &amp; CERTIFICATIONS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Post-Graduate Diploma, Computer Science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Humber College</w:t>
      </w:r>
    </w:p>
    <w:p>
      <w:pPr>
        <w:spacing w:after="1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824"/>
        <w:gridCol w:w="2608"/>
      </w:tblGrid>
      <w:tr>
        <w:tc>
          <w:tcPr>
            <w:tcW w:type="dxa" w:w="7824"/>
          </w:tcPr>
          <w:p>
            <w:r>
              <w:rPr>
                <w:b/>
                <w:sz w:val="22"/>
              </w:rPr>
              <w:t>Bachelor of Science, Engineering</w:t>
            </w:r>
          </w:p>
        </w:tc>
        <w:tc>
          <w:tcPr>
            <w:tcW w:type="dxa" w:w="2608"/>
          </w:tcPr>
          <w:p>
            <w:pPr>
              <w:jc w:val="right"/>
            </w:pPr>
            <w:r>
              <w:rPr>
                <w:b/>
                <w:color w:val="E07000"/>
                <w:sz w:val="20"/>
              </w:rPr>
            </w:r>
          </w:p>
        </w:tc>
      </w:tr>
    </w:tbl>
    <w:p>
      <w:pPr>
        <w:spacing w:after="40"/>
      </w:pPr>
      <w:r>
        <w:rPr>
          <w:i/>
          <w:color w:val="666666"/>
        </w:rPr>
        <w:t>Zagazig University</w:t>
      </w:r>
    </w:p>
    <w:p>
      <w:pPr>
        <w:spacing w:after="120"/>
      </w:pPr>
    </w:p>
    <w:sectPr w:rsidR="00FC693F" w:rsidRPr="0006063C" w:rsidSect="00034616">
      <w:footerReference w:type="default" r:id="rId14"/>
      <w:pgSz w:w="12240" w:h="15840"/>
      <w:pgMar w:top="360" w:right="720" w:bottom="3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66666"/>
        <w:sz w:val="16"/>
      </w:rPr>
      <w:t>Sean Luka Girgis</w:t>
    </w:r>
    <w:r>
      <w:rPr>
        <w:color w:val="666666"/>
        <w:sz w:val="16"/>
      </w:rPr>
      <w:t xml:space="preserve"> | </w:t>
    </w:r>
    <w:r>
      <w:rPr>
        <w:color w:val="666666"/>
        <w:sz w:val="16"/>
      </w:rPr>
      <w:t xml:space="preserve">Page </w:t>
    </w:r>
    <w:r>
      <w:fldChar w:fldCharType="begin"/>
      <w:instrText xml:space="preserve">PAGE</w:instrText>
      <w:fldChar w:fldCharType="end"/>
    </w:r>
    <w:r>
      <w:rPr>
        <w:color w:val="666666"/>
        <w:sz w:val="16"/>
      </w:rPr>
      <w:t xml:space="preserve"> of </w:t>
    </w:r>
    <w: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nlgirgis.github.io" TargetMode="External"/><Relationship Id="rId10" Type="http://schemas.openxmlformats.org/officeDocument/2006/relationships/hyperlink" Target="mailto:seanlgirgis@gmail.com" TargetMode="External"/><Relationship Id="rId11" Type="http://schemas.openxmlformats.org/officeDocument/2006/relationships/hyperlink" Target="https://github.com/seanlgirgis" TargetMode="External"/><Relationship Id="rId12" Type="http://schemas.openxmlformats.org/officeDocument/2006/relationships/hyperlink" Target="https://www.linkedin.com/in/sean-girgis-43bb1b5/" TargetMode="External"/><Relationship Id="rId13" Type="http://schemas.openxmlformats.org/officeDocument/2006/relationships/hyperlink" Target="https://x.com/SeanLuka22249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