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  <w:r>
        <w:rPr>
          <w:sz w:val="20"/>
        </w:rPr>
        <w:t xml:space="preserve"> | </w:t>
      </w:r>
      <w:hyperlink r:id="rId13">
        <w:r>
          <w:rPr>
            <w:color w:val="004a99"/>
          </w:rPr>
          <w:t>X / Twitter</w:t>
        </w:r>
      </w:hyperlink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shd w:val="clear" w:color="auto" w:fill="F2F2F2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004a99"/>
            </w:tcBorders>
          </w:tcPr>
          <w:p>
            <w:pPr>
              <w:spacing w:before="0" w:after="0" w:line="288" w:lineRule="auto"/>
            </w:pPr>
            <w:r>
              <w:rPr>
                <w:rFonts w:ascii="Segoe UI" w:hAnsi="Segoe UI"/>
                <w:b/>
                <w:color w:val="333333"/>
                <w:sz w:val="22"/>
              </w:rPr>
              <w:t>Enterprise ML Engineer &amp; Time-Series Specialist</w:t>
            </w:r>
            <w:r>
              <w:rPr>
                <w:rFonts w:ascii="Segoe UI" w:hAnsi="Segoe UI"/>
                <w:color w:val="333333"/>
                <w:sz w:val="22"/>
              </w:rPr>
              <w:t xml:space="preserve"> with 20+ years of technical leadership.</w:t>
              <w:br/>
              <w:t xml:space="preserve">Specialist in deploying high-performance </w:t>
            </w:r>
            <w:r>
              <w:rPr>
                <w:rFonts w:ascii="Segoe UI" w:hAnsi="Segoe UI"/>
                <w:b/>
                <w:color w:val="333333"/>
                <w:sz w:val="22"/>
              </w:rPr>
              <w:t>Predictive Capacity Pipelines</w:t>
            </w:r>
            <w:r>
              <w:rPr>
                <w:rFonts w:ascii="Segoe UI" w:hAnsi="Segoe UI"/>
                <w:color w:val="333333"/>
                <w:sz w:val="22"/>
              </w:rPr>
              <w:t xml:space="preserve"> for 10,000+ servers.</w:t>
              <w:br/>
              <w:t xml:space="preserve">Expert at bypassing the Python GIL to achieve </w:t>
            </w:r>
            <w:r>
              <w:rPr>
                <w:rFonts w:ascii="Segoe UI" w:hAnsi="Segoe UI"/>
                <w:b/>
                <w:color w:val="333333"/>
                <w:sz w:val="22"/>
              </w:rPr>
              <w:t>10x forecasting throughput</w:t>
            </w:r>
            <w:r>
              <w:rPr>
                <w:rFonts w:ascii="Segoe UI" w:hAnsi="Segoe UI"/>
                <w:color w:val="333333"/>
                <w:sz w:val="22"/>
              </w:rPr>
              <w:t>.</w:t>
              <w:br/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ML ENGINEERING PILLARS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Predictive Engineering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Advanced Forecasting</w:t>
            </w:r>
            <w:r>
              <w:rPr>
                <w:rFonts w:ascii="Segoe UI" w:hAnsi="Segoe UI"/>
                <w:color w:val="333333"/>
                <w:sz w:val="22"/>
              </w:rPr>
              <w:t>: Prophet, LSTM, XGBoost.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High-Performance Data</w:t>
            </w:r>
            <w:r>
              <w:rPr>
                <w:rFonts w:ascii="Segoe UI" w:hAnsi="Segoe UI"/>
                <w:color w:val="333333"/>
                <w:sz w:val="22"/>
              </w:rPr>
              <w:t>: Feature extraction from Parquet/Spark.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Visualization</w:t>
            </w:r>
            <w:r>
              <w:rPr>
                <w:rFonts w:ascii="Segoe UI" w:hAnsi="Segoe UI"/>
                <w:color w:val="333333"/>
                <w:sz w:val="22"/>
              </w:rPr>
              <w:t>: Interactive Streamlit dashboards.</w:t>
            </w:r>
          </w:p>
        </w:tc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MLOps &amp; Strategy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Model Competition</w:t>
            </w:r>
            <w:r>
              <w:rPr>
                <w:rFonts w:ascii="Segoe UI" w:hAnsi="Segoe UI"/>
                <w:color w:val="333333"/>
                <w:sz w:val="22"/>
              </w:rPr>
              <w:t>: Automated champion/challenger selection.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Confidence Modeling</w:t>
            </w:r>
            <w:r>
              <w:rPr>
                <w:rFonts w:ascii="Segoe UI" w:hAnsi="Segoe UI"/>
                <w:color w:val="333333"/>
                <w:sz w:val="22"/>
              </w:rPr>
              <w:t>: "High Trust" 90-day utilization logic.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Domain Expertise</w:t>
            </w:r>
            <w:r>
              <w:rPr>
                <w:rFonts w:ascii="Segoe UI" w:hAnsi="Segoe UI"/>
                <w:color w:val="333333"/>
                <w:sz w:val="22"/>
              </w:rPr>
              <w:t>: BMC TrueSight &amp; AppDynamics synthesis.</w:t>
            </w:r>
          </w:p>
        </w:tc>
      </w:tr>
    </w:tbl>
    <w:p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PROJECT: HORIZONSCALE AI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Predictive Utilization Pipeline (2,000+ Nodes)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Turbo Prophet</w:t>
            </w:r>
            <w:r>
              <w:rPr>
                <w:rFonts w:ascii="Segoe UI" w:hAnsi="Segoe UI"/>
                <w:color w:val="333333"/>
                <w:sz w:val="22"/>
              </w:rPr>
              <w:t xml:space="preserve">: Parallel execution framework reducing cycles by </w:t>
            </w:r>
            <w:r>
              <w:rPr>
                <w:rFonts w:ascii="Segoe UI" w:hAnsi="Segoe UI"/>
                <w:b/>
                <w:color w:val="333333"/>
                <w:sz w:val="22"/>
              </w:rPr>
              <w:t>90%</w:t>
            </w:r>
            <w:r>
              <w:rPr>
                <w:rFonts w:ascii="Segoe UI" w:hAnsi="Segoe UI"/>
                <w:color w:val="333333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High-Fidelity Training</w:t>
            </w:r>
            <w:r>
              <w:rPr>
                <w:rFonts w:ascii="Segoe UI" w:hAnsi="Segoe UI"/>
                <w:color w:val="333333"/>
                <w:sz w:val="22"/>
              </w:rPr>
              <w:t>: 3-year historical synthetic foundation.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Interactive Dashboard</w:t>
            </w:r>
            <w:r>
              <w:rPr>
                <w:rFonts w:ascii="Segoe UI" w:hAnsi="Segoe UI"/>
                <w:color w:val="333333"/>
                <w:sz w:val="22"/>
              </w:rPr>
              <w:t>: 6-month outlooks vs. historical baselines.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Capacity and Performance Consultant (ML &amp; Strategy)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CITI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Architected big-data forecasting for 10,000+ global servers.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Automated regional forecasting, reducing manual analysis by </w:t>
      </w:r>
      <w:r>
        <w:rPr>
          <w:rFonts w:ascii="Segoe UI" w:hAnsi="Segoe UI"/>
          <w:b/>
          <w:color w:val="333333"/>
          <w:sz w:val="22"/>
        </w:rPr>
        <w:t>85%</w:t>
      </w:r>
      <w:r>
        <w:rPr>
          <w:rFonts w:ascii="Segoe UI" w:hAnsi="Segoe UI"/>
          <w:color w:val="333333"/>
          <w:sz w:val="22"/>
        </w:rPr>
        <w:t>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Used BMC TrueSight and AppDynamics for proactive outage detection.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Performance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>
      <w:pPr>
        <w:spacing w:after="40"/>
      </w:pPr>
      <w:r>
        <w:rPr>
          <w:i/>
          <w:color w:val="666666"/>
        </w:rPr>
        <w:t>G6 Hospitality LLC &amp; HCL/ENTERGY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Consultant (CA APM Consulting)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>
      <w:pPr>
        <w:spacing w:after="40"/>
      </w:pPr>
      <w:r>
        <w:rPr>
          <w:i/>
          <w:color w:val="666666"/>
        </w:rPr>
        <w:t>CA Technologies &amp; TIAA-CREF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clients, managing 4,000–6,000 agents across multi-cluster environments.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SME, handling daily operations, cluster maintenance, agent/Power Pack rollouts, and performance bottleneck resolution in J2EE/.NET stacks.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recommendations, Golden Image creation, client training, and technical team leadership for APM deployments.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Optimized large-scale CA Wily Introscope installations, resolving complex issues in high-stakes financial services environments.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AT&amp;T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2010 – 2011</w:t>
            </w:r>
          </w:p>
        </w:tc>
      </w:tr>
    </w:tbl>
    <w:p>
      <w:pPr>
        <w:spacing w:after="40"/>
      </w:pPr>
      <w:r>
        <w:rPr>
          <w:i/>
          <w:color w:val="666666"/>
        </w:rPr>
        <w:t>Senior performance Test Engineer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>
      <w:pPr>
        <w:spacing w:after="40"/>
      </w:pPr>
      <w:r>
        <w:rPr>
          <w:i/>
          <w:color w:val="666666"/>
        </w:rPr>
        <w:t>Senior Developer - C++, Java, Backend Architecture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Software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2000 – 2008</w:t>
            </w:r>
          </w:p>
        </w:tc>
      </w:tr>
    </w:tbl>
    <w:p>
      <w:pPr>
        <w:spacing w:after="40"/>
      </w:pPr>
      <w:r>
        <w:rPr>
          <w:i/>
          <w:color w:val="666666"/>
        </w:rPr>
        <w:t>Full-Stack Development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Post-Graduate Diploma, Computer Science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Humber College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Bachelor of Science, Engineering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Zagazig University</w:t>
      </w:r>
    </w:p>
    <w:p>
      <w:pPr>
        <w:spacing w:after="120"/>
      </w:pPr>
    </w:p>
    <w:sectPr w:rsidR="00FC693F" w:rsidRPr="0006063C" w:rsidSect="00034616">
      <w:footerReference w:type="default" r:id="rId14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hyperlink" Target="https://x.com/SeanLuka22249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