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2229A" w14:textId="77777777" w:rsidR="00C03119" w:rsidRDefault="00000000"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 w14:paraId="61C65F63" w14:textId="77777777" w:rsidR="00C03119" w:rsidRDefault="00000000">
      <w:pPr>
        <w:jc w:val="center"/>
      </w:pPr>
      <w:r>
        <w:rPr>
          <w:color w:val="333333"/>
          <w:sz w:val="20"/>
        </w:rPr>
        <w:t>Murphy, TX</w:t>
      </w:r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8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9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0">
        <w:r>
          <w:rPr>
            <w:color w:val="004A99"/>
          </w:rPr>
          <w:t>LinkedIn</w:t>
        </w:r>
      </w:hyperlink>
    </w:p>
    <w:p w14:paraId="124632F5" w14:textId="77777777" w:rsidR="00C03119" w:rsidRDefault="00C03119">
      <w:pPr>
        <w:spacing w:after="1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800"/>
      </w:tblGrid>
      <w:tr w:rsidR="00C03119" w14:paraId="4CB35A66" w14:textId="77777777">
        <w:tc>
          <w:tcPr>
            <w:tcW w:w="10800" w:type="dxa"/>
            <w:tcBorders>
              <w:left w:val="single" w:sz="64" w:space="0" w:color="004A99"/>
            </w:tcBorders>
            <w:shd w:val="clear" w:color="auto" w:fill="F2F2F2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2A1D9A40" w14:textId="77777777" w:rsidR="00C03119" w:rsidRDefault="00000000">
            <w:pPr>
              <w:spacing w:after="0" w:line="288" w:lineRule="auto"/>
            </w:pPr>
            <w:r>
              <w:rPr>
                <w:rFonts w:ascii="Segoe UI" w:hAnsi="Segoe UI"/>
                <w:b/>
                <w:color w:val="333333"/>
              </w:rPr>
              <w:t>Enterprise ML Engineer &amp; Time-Series Specialist</w:t>
            </w:r>
            <w:r>
              <w:rPr>
                <w:rFonts w:ascii="Segoe UI" w:hAnsi="Segoe UI"/>
                <w:color w:val="333333"/>
              </w:rPr>
              <w:t xml:space="preserve"> with 20+ years of technical leadership.</w:t>
            </w:r>
            <w:r>
              <w:rPr>
                <w:rFonts w:ascii="Segoe UI" w:hAnsi="Segoe UI"/>
                <w:color w:val="333333"/>
              </w:rPr>
              <w:br/>
              <w:t xml:space="preserve">Specialist in deploying high-performance </w:t>
            </w:r>
            <w:r>
              <w:rPr>
                <w:rFonts w:ascii="Segoe UI" w:hAnsi="Segoe UI"/>
                <w:b/>
                <w:color w:val="333333"/>
              </w:rPr>
              <w:t>Predictive Capacity Pipelines</w:t>
            </w:r>
            <w:r>
              <w:rPr>
                <w:rFonts w:ascii="Segoe UI" w:hAnsi="Segoe UI"/>
                <w:color w:val="333333"/>
              </w:rPr>
              <w:t xml:space="preserve"> for 10,000+ servers.</w:t>
            </w:r>
            <w:r>
              <w:rPr>
                <w:rFonts w:ascii="Segoe UI" w:hAnsi="Segoe UI"/>
                <w:color w:val="333333"/>
              </w:rPr>
              <w:br/>
              <w:t xml:space="preserve">Expert at bypassing the Python GIL to achieve </w:t>
            </w:r>
            <w:r>
              <w:rPr>
                <w:rFonts w:ascii="Segoe UI" w:hAnsi="Segoe UI"/>
                <w:b/>
                <w:color w:val="333333"/>
              </w:rPr>
              <w:t>10x forecasting throughput</w:t>
            </w:r>
            <w:r>
              <w:rPr>
                <w:rFonts w:ascii="Segoe UI" w:hAnsi="Segoe UI"/>
                <w:color w:val="333333"/>
              </w:rPr>
              <w:t>.</w:t>
            </w:r>
            <w:r>
              <w:rPr>
                <w:rFonts w:ascii="Segoe UI" w:hAnsi="Segoe UI"/>
                <w:color w:val="333333"/>
              </w:rPr>
              <w:br/>
            </w:r>
          </w:p>
        </w:tc>
      </w:tr>
    </w:tbl>
    <w:p w14:paraId="179FCA08" w14:textId="77777777" w:rsidR="00C03119" w:rsidRDefault="00C03119">
      <w:pPr>
        <w:spacing w:after="240"/>
      </w:pPr>
    </w:p>
    <w:p w14:paraId="6816599D" w14:textId="77777777" w:rsidR="00C03119" w:rsidRDefault="00000000"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CORE ML ENGINEERING PILLARS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C03119" w14:paraId="31D84845" w14:textId="77777777">
        <w:tc>
          <w:tcPr>
            <w:tcW w:w="5400" w:type="dxa"/>
          </w:tcPr>
          <w:p w14:paraId="3C78CB87" w14:textId="77777777" w:rsidR="00C03119" w:rsidRDefault="00000000">
            <w:r>
              <w:rPr>
                <w:b/>
                <w:color w:val="004A99"/>
              </w:rPr>
              <w:t>Predictive Engineering</w:t>
            </w:r>
          </w:p>
          <w:p w14:paraId="0124DEAD" w14:textId="77777777" w:rsidR="00C03119" w:rsidRDefault="00000000">
            <w:pPr>
              <w:pStyle w:val="ListBullet"/>
            </w:pPr>
            <w:r>
              <w:rPr>
                <w:rFonts w:ascii="Segoe UI" w:hAnsi="Segoe UI"/>
                <w:b/>
                <w:color w:val="333333"/>
              </w:rPr>
              <w:t>Advanced Forecasting</w:t>
            </w:r>
            <w:r>
              <w:rPr>
                <w:rFonts w:ascii="Segoe UI" w:hAnsi="Segoe UI"/>
                <w:color w:val="333333"/>
              </w:rPr>
              <w:t>: Prophet, LSTM, XGBoost.</w:t>
            </w:r>
          </w:p>
          <w:p w14:paraId="7E7F4426" w14:textId="77777777" w:rsidR="00C03119" w:rsidRDefault="00000000">
            <w:pPr>
              <w:pStyle w:val="ListBullet"/>
            </w:pPr>
            <w:r>
              <w:rPr>
                <w:rFonts w:ascii="Segoe UI" w:hAnsi="Segoe UI"/>
                <w:b/>
                <w:color w:val="333333"/>
              </w:rPr>
              <w:t>High-Performance Data</w:t>
            </w:r>
            <w:r>
              <w:rPr>
                <w:rFonts w:ascii="Segoe UI" w:hAnsi="Segoe UI"/>
                <w:color w:val="333333"/>
              </w:rPr>
              <w:t>: Feature extraction from Parquet/Spark.</w:t>
            </w:r>
          </w:p>
          <w:p w14:paraId="73665393" w14:textId="77777777" w:rsidR="00C03119" w:rsidRDefault="00000000">
            <w:pPr>
              <w:pStyle w:val="ListBullet"/>
            </w:pPr>
            <w:r>
              <w:rPr>
                <w:rFonts w:ascii="Segoe UI" w:hAnsi="Segoe UI"/>
                <w:b/>
                <w:color w:val="333333"/>
              </w:rPr>
              <w:t>Visualization</w:t>
            </w:r>
            <w:r>
              <w:rPr>
                <w:rFonts w:ascii="Segoe UI" w:hAnsi="Segoe UI"/>
                <w:color w:val="333333"/>
              </w:rPr>
              <w:t>: Interactive Streamlit dashboards.</w:t>
            </w:r>
          </w:p>
        </w:tc>
        <w:tc>
          <w:tcPr>
            <w:tcW w:w="5400" w:type="dxa"/>
          </w:tcPr>
          <w:p w14:paraId="37A117D4" w14:textId="77777777" w:rsidR="00C03119" w:rsidRDefault="00000000">
            <w:r>
              <w:rPr>
                <w:b/>
                <w:color w:val="004A99"/>
              </w:rPr>
              <w:t>MLOps &amp; Strategy</w:t>
            </w:r>
          </w:p>
          <w:p w14:paraId="3A1BE95F" w14:textId="77777777" w:rsidR="00C03119" w:rsidRDefault="00000000">
            <w:pPr>
              <w:pStyle w:val="ListBullet"/>
            </w:pPr>
            <w:r>
              <w:rPr>
                <w:rFonts w:ascii="Segoe UI" w:hAnsi="Segoe UI"/>
                <w:b/>
                <w:color w:val="333333"/>
              </w:rPr>
              <w:t>Model Competition</w:t>
            </w:r>
            <w:r>
              <w:rPr>
                <w:rFonts w:ascii="Segoe UI" w:hAnsi="Segoe UI"/>
                <w:color w:val="333333"/>
              </w:rPr>
              <w:t>: Automated champion/challenger selection.</w:t>
            </w:r>
          </w:p>
          <w:p w14:paraId="5BD4B4AE" w14:textId="77777777" w:rsidR="00C03119" w:rsidRDefault="00000000">
            <w:pPr>
              <w:pStyle w:val="ListBullet"/>
            </w:pPr>
            <w:r>
              <w:rPr>
                <w:rFonts w:ascii="Segoe UI" w:hAnsi="Segoe UI"/>
                <w:b/>
                <w:color w:val="333333"/>
              </w:rPr>
              <w:t>Confidence Modeling</w:t>
            </w:r>
            <w:r>
              <w:rPr>
                <w:rFonts w:ascii="Segoe UI" w:hAnsi="Segoe UI"/>
                <w:color w:val="333333"/>
              </w:rPr>
              <w:t>: "High Trust" 90-day utilization logic.</w:t>
            </w:r>
          </w:p>
          <w:p w14:paraId="0A2468E1" w14:textId="77777777" w:rsidR="00C03119" w:rsidRDefault="00000000">
            <w:pPr>
              <w:pStyle w:val="ListBullet"/>
            </w:pPr>
            <w:r>
              <w:rPr>
                <w:rFonts w:ascii="Segoe UI" w:hAnsi="Segoe UI"/>
                <w:b/>
                <w:color w:val="333333"/>
              </w:rPr>
              <w:t>Domain Expertise</w:t>
            </w:r>
            <w:r>
              <w:rPr>
                <w:rFonts w:ascii="Segoe UI" w:hAnsi="Segoe UI"/>
                <w:color w:val="333333"/>
              </w:rPr>
              <w:t>: BMC TrueSight &amp; AppDynamics synthesis.</w:t>
            </w:r>
          </w:p>
        </w:tc>
      </w:tr>
    </w:tbl>
    <w:p w14:paraId="51595250" w14:textId="77777777" w:rsidR="00C03119" w:rsidRDefault="00000000">
      <w:pPr>
        <w:spacing w:before="240" w:after="120"/>
      </w:pPr>
      <w:r>
        <w:rPr>
          <w:rFonts w:ascii="Segoe UI" w:hAnsi="Segoe UI"/>
          <w:b/>
          <w:color w:val="004A99"/>
          <w:sz w:val="32"/>
          <w:u w:val="single" w:color="E07000"/>
        </w:rPr>
        <w:t>FLAGSHIP PROJECT: HORIZONSCALE AI</w:t>
      </w:r>
    </w:p>
    <w:p w14:paraId="6AB79955" w14:textId="77777777" w:rsidR="00C03119" w:rsidRDefault="00C03119">
      <w:pPr>
        <w:spacing w:after="1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800"/>
      </w:tblGrid>
      <w:tr w:rsidR="00C03119" w14:paraId="67509F34" w14:textId="77777777">
        <w:tc>
          <w:tcPr>
            <w:tcW w:w="10800" w:type="dxa"/>
            <w:tcBorders>
              <w:left w:val="single" w:sz="32" w:space="0" w:color="E07000"/>
            </w:tcBorders>
            <w:tcMar>
              <w:top w:w="0" w:type="dxa"/>
              <w:left w:w="220" w:type="dxa"/>
              <w:bottom w:w="0" w:type="dxa"/>
              <w:right w:w="0" w:type="dxa"/>
            </w:tcMar>
          </w:tcPr>
          <w:p w14:paraId="20823CA7" w14:textId="77777777" w:rsidR="00C03119" w:rsidRDefault="00000000">
            <w:pPr>
              <w:spacing w:after="80"/>
            </w:pPr>
            <w:r>
              <w:rPr>
                <w:b/>
              </w:rPr>
              <w:t>Predictive Utilization Pipeline (2,000+ Nodes)</w:t>
            </w:r>
          </w:p>
          <w:p w14:paraId="3F5DA64A" w14:textId="77777777" w:rsidR="00C03119" w:rsidRDefault="00000000"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</w:rPr>
              <w:t>Turbo Prophet</w:t>
            </w:r>
            <w:r>
              <w:rPr>
                <w:rFonts w:ascii="Segoe UI" w:hAnsi="Segoe UI"/>
                <w:color w:val="333333"/>
              </w:rPr>
              <w:t xml:space="preserve">: Parallel execution framework reducing cycles by </w:t>
            </w:r>
            <w:r>
              <w:rPr>
                <w:rFonts w:ascii="Segoe UI" w:hAnsi="Segoe UI"/>
                <w:b/>
                <w:color w:val="333333"/>
              </w:rPr>
              <w:t>90%</w:t>
            </w:r>
            <w:r>
              <w:rPr>
                <w:rFonts w:ascii="Segoe UI" w:hAnsi="Segoe UI"/>
                <w:color w:val="333333"/>
              </w:rPr>
              <w:t>.</w:t>
            </w:r>
          </w:p>
          <w:p w14:paraId="06C133A3" w14:textId="77777777" w:rsidR="00C03119" w:rsidRDefault="00000000"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</w:rPr>
              <w:t>High-Fidelity Training</w:t>
            </w:r>
            <w:r>
              <w:rPr>
                <w:rFonts w:ascii="Segoe UI" w:hAnsi="Segoe UI"/>
                <w:color w:val="333333"/>
              </w:rPr>
              <w:t>: 3-year historical synthetic foundation.</w:t>
            </w:r>
          </w:p>
          <w:p w14:paraId="3CE6A405" w14:textId="77777777" w:rsidR="00C03119" w:rsidRDefault="00000000"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</w:rPr>
              <w:t>Interactive Dashboard</w:t>
            </w:r>
            <w:r>
              <w:rPr>
                <w:rFonts w:ascii="Segoe UI" w:hAnsi="Segoe UI"/>
                <w:color w:val="333333"/>
              </w:rPr>
              <w:t>: 6-month outlooks vs. historical baselines.</w:t>
            </w:r>
          </w:p>
          <w:p w14:paraId="772F294E" w14:textId="77777777" w:rsidR="00C03119" w:rsidRDefault="00000000"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Python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Prophet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Streamlit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Spark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Multiprocessing </w:t>
            </w:r>
          </w:p>
        </w:tc>
      </w:tr>
    </w:tbl>
    <w:p w14:paraId="1AF87020" w14:textId="77777777" w:rsidR="00C03119" w:rsidRDefault="00C03119">
      <w:pPr>
        <w:spacing w:after="240"/>
      </w:pPr>
    </w:p>
    <w:p w14:paraId="47F2341F" w14:textId="77777777" w:rsidR="00C03119" w:rsidRDefault="00000000"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5A1B74B1" w14:textId="77777777">
        <w:tc>
          <w:tcPr>
            <w:tcW w:w="7824" w:type="dxa"/>
          </w:tcPr>
          <w:p w14:paraId="31C66174" w14:textId="77777777" w:rsidR="00C03119" w:rsidRDefault="00000000">
            <w:r>
              <w:rPr>
                <w:b/>
              </w:rPr>
              <w:t>Capacity and Performance Consultant (ML &amp; Strategy)</w:t>
            </w:r>
          </w:p>
        </w:tc>
        <w:tc>
          <w:tcPr>
            <w:tcW w:w="2608" w:type="dxa"/>
          </w:tcPr>
          <w:p w14:paraId="229570F7" w14:textId="77777777" w:rsidR="00C03119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2017 – Dec 2025</w:t>
            </w:r>
          </w:p>
        </w:tc>
      </w:tr>
    </w:tbl>
    <w:p w14:paraId="6A5896A5" w14:textId="77777777" w:rsidR="00C03119" w:rsidRDefault="00000000">
      <w:pPr>
        <w:spacing w:after="40"/>
      </w:pPr>
      <w:r>
        <w:rPr>
          <w:i/>
          <w:color w:val="666666"/>
        </w:rPr>
        <w:t>CITI</w:t>
      </w:r>
    </w:p>
    <w:p w14:paraId="63982ACE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Architected big-data forecasting for 10,000+ global servers.</w:t>
      </w:r>
    </w:p>
    <w:p w14:paraId="5FAF0C22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 xml:space="preserve">Automated regional forecasting, reducing manual analysis by </w:t>
      </w:r>
      <w:r>
        <w:rPr>
          <w:rFonts w:ascii="Segoe UI" w:hAnsi="Segoe UI"/>
          <w:b/>
          <w:color w:val="333333"/>
        </w:rPr>
        <w:t>85%</w:t>
      </w:r>
      <w:r>
        <w:rPr>
          <w:rFonts w:ascii="Segoe UI" w:hAnsi="Segoe UI"/>
          <w:color w:val="333333"/>
        </w:rPr>
        <w:t>.</w:t>
      </w:r>
    </w:p>
    <w:p w14:paraId="59715263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Used BMC TrueSight and AppDynamics for proactive outage detection.</w:t>
      </w:r>
    </w:p>
    <w:p w14:paraId="6B72783A" w14:textId="77777777" w:rsidR="00C03119" w:rsidRDefault="00C03119">
      <w:pPr>
        <w:spacing w:after="1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261CD83D" w14:textId="77777777">
        <w:tc>
          <w:tcPr>
            <w:tcW w:w="7824" w:type="dxa"/>
          </w:tcPr>
          <w:p w14:paraId="217B483A" w14:textId="77777777" w:rsidR="00C03119" w:rsidRDefault="00000000">
            <w:r>
              <w:rPr>
                <w:b/>
              </w:rPr>
              <w:t>Performance Engineer</w:t>
            </w:r>
          </w:p>
        </w:tc>
        <w:tc>
          <w:tcPr>
            <w:tcW w:w="2608" w:type="dxa"/>
          </w:tcPr>
          <w:p w14:paraId="118E95FD" w14:textId="77777777" w:rsidR="00C03119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2017 – 2017</w:t>
            </w:r>
          </w:p>
        </w:tc>
      </w:tr>
    </w:tbl>
    <w:p w14:paraId="3BA06105" w14:textId="77777777" w:rsidR="00C03119" w:rsidRDefault="00000000">
      <w:pPr>
        <w:spacing w:after="40"/>
      </w:pPr>
      <w:r>
        <w:rPr>
          <w:i/>
          <w:color w:val="666666"/>
        </w:rPr>
        <w:t>G6 Hospitality LLC &amp; HCL/ENTERGY</w:t>
      </w:r>
    </w:p>
    <w:p w14:paraId="12B6D3E3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Managed end-to-end monitoring for Brand.com using Dynatrace AppMon and Synthetics.</w:t>
      </w:r>
    </w:p>
    <w:p w14:paraId="0AEB617E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Led the "FAST" project, data mining user performance metrics to optimize critical money-generating systems.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0DAC7A01" w14:textId="77777777">
        <w:tc>
          <w:tcPr>
            <w:tcW w:w="7824" w:type="dxa"/>
          </w:tcPr>
          <w:p w14:paraId="5DE31561" w14:textId="77777777" w:rsidR="00C03119" w:rsidRDefault="00000000">
            <w:r>
              <w:rPr>
                <w:b/>
              </w:rPr>
              <w:t>Senior Consultant (CA APM Consulting)</w:t>
            </w:r>
          </w:p>
        </w:tc>
        <w:tc>
          <w:tcPr>
            <w:tcW w:w="2608" w:type="dxa"/>
          </w:tcPr>
          <w:p w14:paraId="6BB80534" w14:textId="77777777" w:rsidR="00C03119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2012 – 2017</w:t>
            </w:r>
          </w:p>
        </w:tc>
      </w:tr>
    </w:tbl>
    <w:p w14:paraId="2CD1313C" w14:textId="77777777" w:rsidR="00C03119" w:rsidRDefault="00000000">
      <w:pPr>
        <w:spacing w:after="40"/>
      </w:pPr>
      <w:r>
        <w:rPr>
          <w:i/>
          <w:color w:val="666666"/>
        </w:rPr>
        <w:t>CA Technologies &amp; TIAA-CREF</w:t>
      </w:r>
    </w:p>
    <w:p w14:paraId="705A9F77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Led enterprise CA APM implementations and upgrades (v9.1 → v10.1) for financial clients, managing 4,000–6,000 agents across multi-cluster environments.</w:t>
      </w:r>
    </w:p>
    <w:p w14:paraId="5FA47BCF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Served as CA APM SME, handling daily operations, cluster maintenance, agent/Power Pack rollouts, and performance bottleneck resolution in J2EE/.NET stacks.</w:t>
      </w:r>
    </w:p>
    <w:p w14:paraId="442E9D79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Designed custom dashboards, alerts, reports, and Perl/Ksh data-extraction scripts to deliver actionable insights for business-critical monitoring.</w:t>
      </w:r>
    </w:p>
    <w:p w14:paraId="4B5C0CAA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Provided architectural sizing recommendations, Golden Image creation, client training, and technical team leadership for APM deployments.</w:t>
      </w:r>
    </w:p>
    <w:p w14:paraId="255EAA34" w14:textId="77777777" w:rsidR="00C03119" w:rsidRDefault="00000000">
      <w:pPr>
        <w:pStyle w:val="ListBullet"/>
      </w:pPr>
      <w:r>
        <w:rPr>
          <w:rFonts w:ascii="Segoe UI" w:hAnsi="Segoe UI"/>
          <w:color w:val="333333"/>
        </w:rPr>
        <w:t>Optimized large-scale CA Wily Introscope installations, resolving complex issues in high-stakes financial services environments.</w:t>
      </w:r>
    </w:p>
    <w:p w14:paraId="112998E1" w14:textId="77777777" w:rsidR="00C03119" w:rsidRDefault="00000000"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EXPERIENCE HISTORY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55341062" w14:textId="77777777">
        <w:tc>
          <w:tcPr>
            <w:tcW w:w="7824" w:type="dxa"/>
          </w:tcPr>
          <w:p w14:paraId="03DAA2FE" w14:textId="77777777" w:rsidR="00C03119" w:rsidRDefault="00000000">
            <w:r>
              <w:rPr>
                <w:b/>
              </w:rPr>
              <w:t>AT&amp;T</w:t>
            </w:r>
          </w:p>
        </w:tc>
        <w:tc>
          <w:tcPr>
            <w:tcW w:w="2608" w:type="dxa"/>
          </w:tcPr>
          <w:p w14:paraId="75ABA70A" w14:textId="77777777" w:rsidR="00C03119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2010 – 2011</w:t>
            </w:r>
          </w:p>
        </w:tc>
      </w:tr>
    </w:tbl>
    <w:p w14:paraId="49657337" w14:textId="77777777" w:rsidR="00C03119" w:rsidRDefault="00000000">
      <w:pPr>
        <w:spacing w:after="40"/>
        <w:rPr>
          <w:i/>
          <w:color w:val="666666"/>
        </w:rPr>
      </w:pPr>
      <w:r>
        <w:rPr>
          <w:i/>
          <w:color w:val="666666"/>
        </w:rPr>
        <w:t>Senior performance Test Engineer</w:t>
      </w:r>
    </w:p>
    <w:p w14:paraId="56D1D860" w14:textId="77777777" w:rsidR="002931B2" w:rsidRDefault="002931B2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39D031E3" w14:textId="77777777">
        <w:tc>
          <w:tcPr>
            <w:tcW w:w="7824" w:type="dxa"/>
          </w:tcPr>
          <w:p w14:paraId="685D7DFC" w14:textId="77777777" w:rsidR="00C03119" w:rsidRDefault="00000000">
            <w:r>
              <w:rPr>
                <w:b/>
              </w:rPr>
              <w:t>Sabre</w:t>
            </w:r>
          </w:p>
        </w:tc>
        <w:tc>
          <w:tcPr>
            <w:tcW w:w="2608" w:type="dxa"/>
          </w:tcPr>
          <w:p w14:paraId="65B7088F" w14:textId="77777777" w:rsidR="00C03119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2008 – 2012</w:t>
            </w:r>
          </w:p>
        </w:tc>
      </w:tr>
    </w:tbl>
    <w:p w14:paraId="0316A670" w14:textId="77777777" w:rsidR="00C03119" w:rsidRDefault="00000000">
      <w:pPr>
        <w:spacing w:after="40"/>
      </w:pPr>
      <w:r>
        <w:rPr>
          <w:i/>
          <w:color w:val="666666"/>
        </w:rPr>
        <w:t>Senior Developer - C++, Java, Backend Architecture</w:t>
      </w:r>
    </w:p>
    <w:p w14:paraId="16FBC96B" w14:textId="77777777" w:rsidR="00C03119" w:rsidRDefault="00C03119">
      <w:pPr>
        <w:spacing w:after="1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7A1E54B0" w14:textId="77777777">
        <w:tc>
          <w:tcPr>
            <w:tcW w:w="7824" w:type="dxa"/>
          </w:tcPr>
          <w:p w14:paraId="546AC039" w14:textId="77777777" w:rsidR="00C03119" w:rsidRDefault="00000000">
            <w:r>
              <w:rPr>
                <w:b/>
              </w:rPr>
              <w:t>Software Engineer</w:t>
            </w:r>
          </w:p>
        </w:tc>
        <w:tc>
          <w:tcPr>
            <w:tcW w:w="2608" w:type="dxa"/>
          </w:tcPr>
          <w:p w14:paraId="1E5D3DF3" w14:textId="77777777" w:rsidR="00C03119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2000 – 2008</w:t>
            </w:r>
          </w:p>
        </w:tc>
      </w:tr>
    </w:tbl>
    <w:p w14:paraId="78A3D3BA" w14:textId="77777777" w:rsidR="00C03119" w:rsidRDefault="00000000">
      <w:pPr>
        <w:spacing w:after="40"/>
      </w:pPr>
      <w:r>
        <w:rPr>
          <w:i/>
          <w:color w:val="666666"/>
        </w:rPr>
        <w:t>Full-Stack Development</w:t>
      </w:r>
    </w:p>
    <w:p w14:paraId="3FFE8713" w14:textId="77777777" w:rsidR="00C03119" w:rsidRDefault="00C03119">
      <w:pPr>
        <w:spacing w:after="120"/>
      </w:pPr>
    </w:p>
    <w:p w14:paraId="2290AB29" w14:textId="77777777" w:rsidR="00C03119" w:rsidRDefault="00000000"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30E9AE07" w14:textId="77777777">
        <w:tc>
          <w:tcPr>
            <w:tcW w:w="7824" w:type="dxa"/>
          </w:tcPr>
          <w:p w14:paraId="230313C5" w14:textId="77777777" w:rsidR="00C03119" w:rsidRDefault="00000000">
            <w:r>
              <w:rPr>
                <w:b/>
              </w:rPr>
              <w:t>Post-Graduate Diploma, Computer Science</w:t>
            </w:r>
          </w:p>
        </w:tc>
        <w:tc>
          <w:tcPr>
            <w:tcW w:w="2608" w:type="dxa"/>
          </w:tcPr>
          <w:p w14:paraId="481A382B" w14:textId="77777777" w:rsidR="00C03119" w:rsidRDefault="00C03119">
            <w:pPr>
              <w:jc w:val="right"/>
            </w:pPr>
          </w:p>
        </w:tc>
      </w:tr>
    </w:tbl>
    <w:p w14:paraId="0FC6054F" w14:textId="77777777" w:rsidR="00C03119" w:rsidRDefault="00000000">
      <w:pPr>
        <w:spacing w:after="40"/>
      </w:pPr>
      <w:r>
        <w:rPr>
          <w:i/>
          <w:color w:val="666666"/>
        </w:rPr>
        <w:t>Humber College</w:t>
      </w:r>
    </w:p>
    <w:p w14:paraId="3AC6551B" w14:textId="77777777" w:rsidR="00C03119" w:rsidRDefault="00C03119">
      <w:pPr>
        <w:spacing w:after="1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C03119" w14:paraId="2A39CB0E" w14:textId="77777777">
        <w:tc>
          <w:tcPr>
            <w:tcW w:w="7824" w:type="dxa"/>
          </w:tcPr>
          <w:p w14:paraId="65BBC97E" w14:textId="77777777" w:rsidR="00C03119" w:rsidRDefault="00000000">
            <w:r>
              <w:rPr>
                <w:b/>
              </w:rPr>
              <w:t>Bachelor of Science, Engineering</w:t>
            </w:r>
          </w:p>
        </w:tc>
        <w:tc>
          <w:tcPr>
            <w:tcW w:w="2608" w:type="dxa"/>
          </w:tcPr>
          <w:p w14:paraId="702DDB0F" w14:textId="77777777" w:rsidR="00C03119" w:rsidRDefault="00C03119">
            <w:pPr>
              <w:jc w:val="right"/>
            </w:pPr>
          </w:p>
        </w:tc>
      </w:tr>
    </w:tbl>
    <w:p w14:paraId="6F311E1C" w14:textId="4B66D17C" w:rsidR="00C03119" w:rsidRDefault="00000000" w:rsidP="002931B2">
      <w:pPr>
        <w:spacing w:after="40"/>
      </w:pPr>
      <w:r>
        <w:rPr>
          <w:i/>
          <w:color w:val="666666"/>
        </w:rPr>
        <w:t>Zagazig University</w:t>
      </w:r>
    </w:p>
    <w:sectPr w:rsidR="00C03119" w:rsidSect="00034616">
      <w:footerReference w:type="default" r:id="rId11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2595A" w14:textId="77777777" w:rsidR="00FE66DE" w:rsidRDefault="00FE66DE">
      <w:pPr>
        <w:spacing w:after="0" w:line="240" w:lineRule="auto"/>
      </w:pPr>
      <w:r>
        <w:separator/>
      </w:r>
    </w:p>
  </w:endnote>
  <w:endnote w:type="continuationSeparator" w:id="0">
    <w:p w14:paraId="2A515C7B" w14:textId="77777777" w:rsidR="00FE66DE" w:rsidRDefault="00FE6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4A6D3" w14:textId="77777777" w:rsidR="00C03119" w:rsidRDefault="00000000">
    <w:pPr>
      <w:jc w:val="center"/>
    </w:pPr>
    <w:r>
      <w:rPr>
        <w:color w:val="666666"/>
        <w:sz w:val="16"/>
      </w:rPr>
      <w:t xml:space="preserve">Sean Luka Girgis | Page </w:t>
    </w:r>
    <w:r>
      <w:fldChar w:fldCharType="begin"/>
    </w:r>
    <w:r>
      <w:instrText>PAGE</w:instrText>
    </w:r>
    <w:r w:rsidR="002931B2">
      <w:fldChar w:fldCharType="separate"/>
    </w:r>
    <w:r w:rsidR="002931B2">
      <w:rPr>
        <w:noProof/>
      </w:rPr>
      <w:t>1</w:t>
    </w:r>
    <w:r>
      <w:fldChar w:fldCharType="end"/>
    </w:r>
    <w:r>
      <w:rPr>
        <w:color w:val="666666"/>
        <w:sz w:val="16"/>
      </w:rPr>
      <w:t xml:space="preserve"> of </w:t>
    </w:r>
    <w:r>
      <w:fldChar w:fldCharType="begin"/>
    </w:r>
    <w:r>
      <w:instrText>NUMPAGES</w:instrText>
    </w:r>
    <w:r w:rsidR="002931B2">
      <w:fldChar w:fldCharType="separate"/>
    </w:r>
    <w:r w:rsidR="002931B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DCB36" w14:textId="77777777" w:rsidR="00FE66DE" w:rsidRDefault="00FE66DE">
      <w:pPr>
        <w:spacing w:after="0" w:line="240" w:lineRule="auto"/>
      </w:pPr>
      <w:r>
        <w:separator/>
      </w:r>
    </w:p>
  </w:footnote>
  <w:footnote w:type="continuationSeparator" w:id="0">
    <w:p w14:paraId="2D5DC680" w14:textId="77777777" w:rsidR="00FE66DE" w:rsidRDefault="00FE66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323214">
    <w:abstractNumId w:val="8"/>
  </w:num>
  <w:num w:numId="2" w16cid:durableId="1613584506">
    <w:abstractNumId w:val="6"/>
  </w:num>
  <w:num w:numId="3" w16cid:durableId="248927077">
    <w:abstractNumId w:val="5"/>
  </w:num>
  <w:num w:numId="4" w16cid:durableId="468329305">
    <w:abstractNumId w:val="4"/>
  </w:num>
  <w:num w:numId="5" w16cid:durableId="1706171891">
    <w:abstractNumId w:val="7"/>
  </w:num>
  <w:num w:numId="6" w16cid:durableId="1215652978">
    <w:abstractNumId w:val="3"/>
  </w:num>
  <w:num w:numId="7" w16cid:durableId="1043748585">
    <w:abstractNumId w:val="2"/>
  </w:num>
  <w:num w:numId="8" w16cid:durableId="999770141">
    <w:abstractNumId w:val="1"/>
  </w:num>
  <w:num w:numId="9" w16cid:durableId="855075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1B2"/>
    <w:rsid w:val="0029639D"/>
    <w:rsid w:val="00326F90"/>
    <w:rsid w:val="00AA1D8D"/>
    <w:rsid w:val="00B25BE0"/>
    <w:rsid w:val="00B47730"/>
    <w:rsid w:val="00C03119"/>
    <w:rsid w:val="00CB0664"/>
    <w:rsid w:val="00FC693F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B67815"/>
  <w14:defaultImageDpi w14:val="300"/>
  <w15:docId w15:val="{9334FC4A-F0A8-467D-A6DA-637F929CB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anlgirgis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sean-girgis-43bb1b5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eanlgirg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354</Words>
  <Characters>2587</Characters>
  <Application>Microsoft Office Word</Application>
  <DocSecurity>0</DocSecurity>
  <Lines>83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Sean Girgis</cp:lastModifiedBy>
  <cp:revision>2</cp:revision>
  <dcterms:created xsi:type="dcterms:W3CDTF">2013-12-23T23:15:00Z</dcterms:created>
  <dcterms:modified xsi:type="dcterms:W3CDTF">2026-01-05T05:40:00Z</dcterms:modified>
  <cp:category/>
</cp:coreProperties>
</file>