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Hlk23283936"/>
    <w:bookmarkStart w:id="1" w:name="_GoBack"/>
    <w:bookmarkEnd w:id="0"/>
    <w:bookmarkEnd w:id="1"/>
    <w:p w14:paraId="6FA0C592" w14:textId="2E8C0B54" w:rsidR="009F1D87" w:rsidRDefault="008875E6" w:rsidP="004E6CAC">
      <w:pPr>
        <w:pStyle w:val="NoSpacing"/>
        <w:rPr>
          <w:b/>
          <w:bCs/>
        </w:rPr>
      </w:pPr>
      <w:r w:rsidRPr="00741E9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539456" behindDoc="0" locked="0" layoutInCell="1" allowOverlap="1" wp14:anchorId="2AADD423" wp14:editId="105B30D2">
                <wp:simplePos x="0" y="0"/>
                <wp:positionH relativeFrom="margin">
                  <wp:posOffset>7950</wp:posOffset>
                </wp:positionH>
                <wp:positionV relativeFrom="paragraph">
                  <wp:posOffset>16234</wp:posOffset>
                </wp:positionV>
                <wp:extent cx="5915771" cy="0"/>
                <wp:effectExtent l="0" t="19050" r="2794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5771" cy="0"/>
                        </a:xfrm>
                        <a:prstGeom prst="line">
                          <a:avLst/>
                        </a:prstGeom>
                        <a:ln w="4445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C764DF7" id="Straight Connector 3" o:spid="_x0000_s1026" style="position:absolute;z-index:251539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65pt,1.3pt" to="466.45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" strokecolor="#272727 [2749]" strokeweight="3.5pt">
                <v:stroke joinstyle="miter"/>
                <w10:wrap anchorx="margin"/>
              </v:line>
            </w:pict>
          </mc:Fallback>
        </mc:AlternateContent>
      </w:r>
    </w:p>
    <w:p w14:paraId="2DDA2BC3" w14:textId="524A5989" w:rsidR="00741E94" w:rsidRPr="004E6CAC" w:rsidRDefault="00741E94" w:rsidP="004E6CAC">
      <w:pPr>
        <w:pStyle w:val="NoSpacing"/>
        <w:rPr>
          <w:b/>
          <w:bCs/>
        </w:rPr>
      </w:pPr>
      <w:r w:rsidRPr="00741E94">
        <w:rPr>
          <w:b/>
          <w:bCs/>
        </w:rPr>
        <w:t>Company:</w:t>
      </w:r>
      <w:r>
        <w:rPr>
          <w:b/>
          <w:bCs/>
        </w:rPr>
        <w:t xml:space="preserve"> </w:t>
      </w:r>
      <w:r>
        <w:t>Iterum Therapeutics (ITRM)</w:t>
      </w:r>
      <w:r w:rsidRPr="00741E94">
        <w:rPr>
          <w:b/>
          <w:bCs/>
        </w:rPr>
        <w:t xml:space="preserve"> </w:t>
      </w:r>
      <w:r w:rsidRPr="00741E94">
        <w:rPr>
          <w:b/>
          <w:bCs/>
        </w:rPr>
        <w:tab/>
      </w:r>
      <w:r w:rsidRPr="00741E94">
        <w:rPr>
          <w:b/>
          <w:bCs/>
        </w:rPr>
        <w:tab/>
      </w:r>
      <w:r w:rsidR="004E6CAC">
        <w:rPr>
          <w:b/>
          <w:bCs/>
        </w:rPr>
        <w:tab/>
      </w:r>
      <w:r w:rsidR="00110709">
        <w:rPr>
          <w:b/>
          <w:bCs/>
        </w:rPr>
        <w:t>Investment</w:t>
      </w:r>
      <w:r>
        <w:rPr>
          <w:b/>
          <w:bCs/>
        </w:rPr>
        <w:t xml:space="preserve">: </w:t>
      </w:r>
      <w:r>
        <w:t xml:space="preserve">Long </w:t>
      </w:r>
      <w:r w:rsidR="00EB1787">
        <w:t xml:space="preserve">Common Equity </w:t>
      </w:r>
    </w:p>
    <w:p w14:paraId="4C4E39C2" w14:textId="0B196696" w:rsidR="004E6CAC" w:rsidRDefault="00741E94" w:rsidP="00110709">
      <w:pPr>
        <w:pStyle w:val="NoSpacing"/>
      </w:pPr>
      <w:r w:rsidRPr="00741E94">
        <w:rPr>
          <w:b/>
          <w:bCs/>
        </w:rPr>
        <w:t>Catalyst:</w:t>
      </w:r>
      <w:r>
        <w:rPr>
          <w:b/>
          <w:bCs/>
        </w:rPr>
        <w:t xml:space="preserve"> </w:t>
      </w:r>
      <w:r>
        <w:t>Read out of Phase 3 Clinical Trial</w:t>
      </w:r>
      <w:r w:rsidRPr="00741E94">
        <w:rPr>
          <w:b/>
          <w:bCs/>
        </w:rPr>
        <w:t xml:space="preserve"> </w:t>
      </w:r>
      <w:r w:rsidR="004E6CAC">
        <w:rPr>
          <w:b/>
          <w:bCs/>
        </w:rPr>
        <w:tab/>
      </w:r>
      <w:r w:rsidR="004E6CAC">
        <w:rPr>
          <w:b/>
          <w:bCs/>
        </w:rPr>
        <w:tab/>
      </w:r>
      <w:r w:rsidR="00EB1787">
        <w:rPr>
          <w:b/>
          <w:bCs/>
        </w:rPr>
        <w:t>Current Price</w:t>
      </w:r>
      <w:r w:rsidR="00110709">
        <w:rPr>
          <w:b/>
          <w:bCs/>
        </w:rPr>
        <w:t xml:space="preserve">: </w:t>
      </w:r>
      <w:r w:rsidR="00EB1787" w:rsidRPr="00EB1787">
        <w:t>$3.</w:t>
      </w:r>
      <w:r w:rsidR="006B4FAE">
        <w:t>50</w:t>
      </w:r>
    </w:p>
    <w:p w14:paraId="38824582" w14:textId="77777777" w:rsidR="00110709" w:rsidRDefault="00110709" w:rsidP="00110709">
      <w:pPr>
        <w:pStyle w:val="NoSpacing"/>
        <w:rPr>
          <w:b/>
          <w:bCs/>
        </w:rPr>
      </w:pPr>
    </w:p>
    <w:p w14:paraId="565D4F2A" w14:textId="65879FED" w:rsidR="004E6CAC" w:rsidRDefault="001C32B4">
      <w:r>
        <w:t>Iterum</w:t>
      </w:r>
      <w:r w:rsidR="00DF0499">
        <w:t xml:space="preserve"> (NASDAQ: ITRM)</w:t>
      </w:r>
      <w:r>
        <w:t xml:space="preserve"> is a clinical stage pharmaceutical company developing anti-infectives to combat multi-drug resistant pathogens.  </w:t>
      </w:r>
    </w:p>
    <w:p w14:paraId="6EF327E7" w14:textId="4BF24D4B" w:rsidR="004E6CAC" w:rsidRPr="00364D4D" w:rsidRDefault="004E6CAC">
      <w:pPr>
        <w:rPr>
          <w:b/>
          <w:bCs/>
          <w:sz w:val="24"/>
          <w:szCs w:val="24"/>
        </w:rPr>
      </w:pPr>
      <w:r w:rsidRPr="00364D4D">
        <w:rPr>
          <w:b/>
          <w:bCs/>
          <w:sz w:val="24"/>
          <w:szCs w:val="24"/>
        </w:rPr>
        <w:t>Opportunity</w:t>
      </w:r>
    </w:p>
    <w:p w14:paraId="45F7E276" w14:textId="3E1117C9" w:rsidR="00E54E42" w:rsidRDefault="001C32B4">
      <w:r>
        <w:t xml:space="preserve">Iterum acquired an exclusive worldwide license to sulopenem and its oral prodrug </w:t>
      </w:r>
      <w:proofErr w:type="spellStart"/>
      <w:r>
        <w:t>sulop</w:t>
      </w:r>
      <w:r w:rsidR="00F36ECF">
        <w:t>e</w:t>
      </w:r>
      <w:r>
        <w:t>nem</w:t>
      </w:r>
      <w:proofErr w:type="spellEnd"/>
      <w:r>
        <w:t xml:space="preserve"> </w:t>
      </w:r>
      <w:proofErr w:type="spellStart"/>
      <w:r>
        <w:t>etzadroxil</w:t>
      </w:r>
      <w:proofErr w:type="spellEnd"/>
      <w:r>
        <w:t xml:space="preserve"> </w:t>
      </w:r>
      <w:r w:rsidR="006821BC">
        <w:t>from</w:t>
      </w:r>
      <w:r>
        <w:t xml:space="preserve"> Pfizer.  Pfizer has</w:t>
      </w:r>
      <w:r w:rsidR="00DF0499">
        <w:t xml:space="preserve"> </w:t>
      </w:r>
      <w:r>
        <w:t>done multiple Phase 1 &amp; 2 trials on the drug in over 1,450 patients</w:t>
      </w:r>
      <w:r w:rsidR="00E54E42">
        <w:t xml:space="preserve"> </w:t>
      </w:r>
      <w:r w:rsidR="00EA2220">
        <w:t>which has established a</w:t>
      </w:r>
      <w:r w:rsidR="00E54E42">
        <w:t xml:space="preserve"> </w:t>
      </w:r>
      <w:r w:rsidR="00EA2220">
        <w:t>clear safety and pk/dosing profile</w:t>
      </w:r>
      <w:r w:rsidR="004F632F">
        <w:t>, the 3 Phase III trials in 2H ’19 will establish efficacy.</w:t>
      </w:r>
    </w:p>
    <w:p w14:paraId="353CAED6" w14:textId="1FDC914C" w:rsidR="00DF0499" w:rsidRDefault="002D60FA">
      <w:r>
        <w:t xml:space="preserve">This has the potential to be the </w:t>
      </w:r>
      <w:r w:rsidR="00A954E7">
        <w:t xml:space="preserve">first </w:t>
      </w:r>
      <w:r>
        <w:t xml:space="preserve">oral </w:t>
      </w:r>
      <w:proofErr w:type="spellStart"/>
      <w:r>
        <w:t>penem</w:t>
      </w:r>
      <w:proofErr w:type="spellEnd"/>
      <w:r w:rsidR="00A954E7">
        <w:t xml:space="preserve"> which would add significant value</w:t>
      </w:r>
      <w:r w:rsidR="00E54E42">
        <w:t xml:space="preserve"> to both clinicians</w:t>
      </w:r>
      <w:r w:rsidR="00EA2220">
        <w:t xml:space="preserve"> </w:t>
      </w:r>
      <w:r w:rsidR="00E54E42">
        <w:t xml:space="preserve">and payors. </w:t>
      </w:r>
      <w:r w:rsidR="00A954E7">
        <w:t>Iterum’s</w:t>
      </w:r>
      <w:r w:rsidR="004E6CAC">
        <w:t xml:space="preserve"> stock </w:t>
      </w:r>
      <w:r w:rsidR="0018254A">
        <w:t xml:space="preserve">has fallen due to 1) </w:t>
      </w:r>
      <w:r w:rsidR="00A954E7">
        <w:t xml:space="preserve">very little coverage </w:t>
      </w:r>
      <w:r w:rsidR="0018254A">
        <w:t>2) post IPO sell-off &amp; 3) no news</w:t>
      </w:r>
      <w:r w:rsidR="004E6CAC">
        <w:t>.</w:t>
      </w:r>
      <w:r w:rsidR="00A954E7">
        <w:t xml:space="preserve"> We view this as a very attractive </w:t>
      </w:r>
      <w:r w:rsidR="00786507">
        <w:t>entry</w:t>
      </w:r>
      <w:r w:rsidR="00A954E7">
        <w:t xml:space="preserve"> price</w:t>
      </w:r>
      <w:r w:rsidR="00786507">
        <w:t xml:space="preserve"> with limited downside risk</w:t>
      </w:r>
      <w:r w:rsidR="00A954E7">
        <w:t>.</w:t>
      </w:r>
      <w:r w:rsidR="00C96821">
        <w:t xml:space="preserve">  We are not going to go into detail on the commercial/ financial model as we believe that even under the most conservative </w:t>
      </w:r>
      <w:r w:rsidR="0018254A">
        <w:t>scenario</w:t>
      </w:r>
      <w:r w:rsidR="00C96821">
        <w:t xml:space="preserve">, a successful read out will merit a price over $10/share.  That is currently ~2.5-3.0x the current price. </w:t>
      </w:r>
    </w:p>
    <w:p w14:paraId="179C5B54" w14:textId="6DE9D29E" w:rsidR="0042742B" w:rsidRPr="00364D4D" w:rsidRDefault="0042742B" w:rsidP="0042742B">
      <w:pPr>
        <w:rPr>
          <w:b/>
          <w:bCs/>
          <w:sz w:val="24"/>
          <w:szCs w:val="24"/>
        </w:rPr>
      </w:pPr>
      <w:r w:rsidRPr="00364D4D">
        <w:rPr>
          <w:b/>
          <w:bCs/>
          <w:sz w:val="24"/>
          <w:szCs w:val="24"/>
        </w:rPr>
        <w:t>Catalyst</w:t>
      </w:r>
    </w:p>
    <w:p w14:paraId="008D1D90" w14:textId="68131969" w:rsidR="0042742B" w:rsidRDefault="0042742B">
      <w:r>
        <w:t>Three Phase III readouts in Q4 2019</w:t>
      </w:r>
      <w:r w:rsidR="004F632F">
        <w:t>/ Q1 2020</w:t>
      </w:r>
      <w:r>
        <w:t xml:space="preserve">– indications for </w:t>
      </w:r>
      <w:proofErr w:type="spellStart"/>
      <w:r>
        <w:t>uUTI</w:t>
      </w:r>
      <w:proofErr w:type="spellEnd"/>
      <w:r>
        <w:t xml:space="preserve">, </w:t>
      </w:r>
      <w:proofErr w:type="spellStart"/>
      <w:r>
        <w:t>cUTI</w:t>
      </w:r>
      <w:proofErr w:type="spellEnd"/>
      <w:r>
        <w:t xml:space="preserve">, &amp; </w:t>
      </w:r>
      <w:proofErr w:type="spellStart"/>
      <w:r>
        <w:t>cIAI</w:t>
      </w:r>
      <w:proofErr w:type="spellEnd"/>
      <w:r>
        <w:t>.</w:t>
      </w:r>
    </w:p>
    <w:p w14:paraId="5A95B581" w14:textId="647BDB05" w:rsidR="0042742B" w:rsidRPr="00364D4D" w:rsidRDefault="00364D4D">
      <w:pPr>
        <w:rPr>
          <w:b/>
          <w:bCs/>
          <w:sz w:val="24"/>
          <w:szCs w:val="24"/>
        </w:rPr>
      </w:pPr>
      <w:r w:rsidRPr="00364D4D">
        <w:rPr>
          <w:b/>
          <w:bCs/>
          <w:sz w:val="24"/>
          <w:szCs w:val="24"/>
        </w:rPr>
        <w:t>Two Questions to Determine Success</w:t>
      </w:r>
    </w:p>
    <w:p w14:paraId="3B75ADDB" w14:textId="50A4EAEC" w:rsidR="00105FDF" w:rsidRPr="00A65DE9" w:rsidRDefault="00105FDF" w:rsidP="00A65DE9">
      <w:pPr>
        <w:pStyle w:val="ListParagraph"/>
        <w:numPr>
          <w:ilvl w:val="0"/>
          <w:numId w:val="2"/>
        </w:numPr>
        <w:rPr>
          <w:b/>
          <w:bCs/>
        </w:rPr>
      </w:pPr>
      <w:r w:rsidRPr="00A65DE9">
        <w:rPr>
          <w:b/>
          <w:bCs/>
        </w:rPr>
        <w:t>Will the oral dosing of sulopen</w:t>
      </w:r>
      <w:r w:rsidR="00A65DE9">
        <w:rPr>
          <w:b/>
          <w:bCs/>
        </w:rPr>
        <w:t>e</w:t>
      </w:r>
      <w:r w:rsidRPr="00A65DE9">
        <w:rPr>
          <w:b/>
          <w:bCs/>
        </w:rPr>
        <w:t xml:space="preserve">m </w:t>
      </w:r>
      <w:r w:rsidR="0018254A" w:rsidRPr="00A65DE9">
        <w:rPr>
          <w:b/>
          <w:bCs/>
        </w:rPr>
        <w:t>display</w:t>
      </w:r>
      <w:r w:rsidRPr="00A65DE9">
        <w:rPr>
          <w:b/>
          <w:bCs/>
        </w:rPr>
        <w:t xml:space="preserve"> sufficient efficacy?</w:t>
      </w:r>
    </w:p>
    <w:p w14:paraId="43A124EB" w14:textId="0FFCF2CE" w:rsidR="00364D4D" w:rsidRDefault="00105FDF" w:rsidP="00F36ECF">
      <w:pPr>
        <w:ind w:left="360"/>
      </w:pPr>
      <w:r>
        <w:t xml:space="preserve">A little background </w:t>
      </w:r>
      <w:r w:rsidR="0018254A">
        <w:t>on</w:t>
      </w:r>
      <w:r>
        <w:t xml:space="preserve"> the science.</w:t>
      </w:r>
      <w:r w:rsidR="00793FB1">
        <w:t xml:space="preserve">  Antibiot</w:t>
      </w:r>
      <w:r w:rsidR="0018254A">
        <w:t>i</w:t>
      </w:r>
      <w:r w:rsidR="00793FB1">
        <w:t>c</w:t>
      </w:r>
      <w:r w:rsidR="0018254A">
        <w:t>s</w:t>
      </w:r>
      <w:r w:rsidR="00793FB1">
        <w:t xml:space="preserve"> efficacy is typically measured using</w:t>
      </w:r>
      <w:r w:rsidR="00F36ECF">
        <w:t xml:space="preserve"> a parameter called</w:t>
      </w:r>
      <w:r w:rsidR="00793FB1">
        <w:t xml:space="preserve"> MIC (minimum inhibitory concentration).  MIC is the lowest </w:t>
      </w:r>
      <w:r w:rsidR="00F36ECF">
        <w:t>concentration</w:t>
      </w:r>
      <w:r w:rsidR="00793FB1">
        <w:t xml:space="preserve"> of a </w:t>
      </w:r>
      <w:r w:rsidR="0018254A">
        <w:t>drug</w:t>
      </w:r>
      <w:r w:rsidR="00793FB1">
        <w:t xml:space="preserve"> that prevents visible growth of a </w:t>
      </w:r>
      <w:r w:rsidR="00A65DE9">
        <w:t>bacteria</w:t>
      </w:r>
      <w:r w:rsidR="00793FB1">
        <w:t xml:space="preserve">.  Antibiotics can be </w:t>
      </w:r>
      <w:r w:rsidR="00A65DE9">
        <w:t>divided</w:t>
      </w:r>
      <w:r w:rsidR="00793FB1">
        <w:t xml:space="preserve"> into three different </w:t>
      </w:r>
      <w:r w:rsidR="00F36ECF">
        <w:t>p</w:t>
      </w:r>
      <w:r w:rsidR="00A65DE9">
        <w:t>harmacokinetic</w:t>
      </w:r>
      <w:r w:rsidR="00793FB1">
        <w:t>/</w:t>
      </w:r>
      <w:r w:rsidR="00F36ECF">
        <w:t xml:space="preserve"> </w:t>
      </w:r>
      <w:r w:rsidR="00A65DE9">
        <w:t>pharmacodynamic</w:t>
      </w:r>
      <w:r w:rsidR="00793FB1">
        <w:t xml:space="preserve"> classes: Type I, Type II, &amp; Type III.  </w:t>
      </w:r>
      <w:r>
        <w:t xml:space="preserve"> </w:t>
      </w:r>
      <w:proofErr w:type="spellStart"/>
      <w:r>
        <w:t>Penem</w:t>
      </w:r>
      <w:proofErr w:type="spellEnd"/>
      <w:r>
        <w:t xml:space="preserve"> </w:t>
      </w:r>
      <w:r w:rsidR="00F36ECF">
        <w:t xml:space="preserve">(e.g. sulopenem) </w:t>
      </w:r>
      <w:r>
        <w:t>antibiotics are considered Type 2 antibiotics.</w:t>
      </w:r>
      <w:r w:rsidR="00793FB1">
        <w:t xml:space="preserve">  The PK/PD parameter</w:t>
      </w:r>
      <w:r w:rsidR="00A65DE9">
        <w:t xml:space="preserve"> to maximize efficacy</w:t>
      </w:r>
      <w:r w:rsidR="00793FB1">
        <w:t xml:space="preserve"> for Type II antibiotics </w:t>
      </w:r>
      <w:r w:rsidR="00A65DE9">
        <w:t>is</w:t>
      </w:r>
      <w:r w:rsidR="00793FB1">
        <w:t xml:space="preserve"> T&gt;MIC – </w:t>
      </w:r>
      <w:proofErr w:type="spellStart"/>
      <w:r w:rsidR="00793FB1">
        <w:t>ie</w:t>
      </w:r>
      <w:proofErr w:type="spellEnd"/>
      <w:r w:rsidR="00793FB1">
        <w:t>.  t</w:t>
      </w:r>
      <w:r>
        <w:t xml:space="preserve">he ideal dosing regimen </w:t>
      </w:r>
      <w:r w:rsidR="00F36ECF">
        <w:t xml:space="preserve">for the </w:t>
      </w:r>
      <w:proofErr w:type="spellStart"/>
      <w:r w:rsidR="00F36ECF">
        <w:t>penem</w:t>
      </w:r>
      <w:proofErr w:type="spellEnd"/>
      <w:r w:rsidR="00F36ECF">
        <w:t xml:space="preserve"> class of </w:t>
      </w:r>
      <w:r>
        <w:t>antibiotics maximizes the duration of exposure.</w:t>
      </w:r>
      <w:r w:rsidR="00F36ECF">
        <w:t xml:space="preserve">  </w:t>
      </w:r>
      <w:r>
        <w:t xml:space="preserve">IV sulopenem has demonstrated </w:t>
      </w:r>
      <w:r w:rsidR="009E05DE">
        <w:t xml:space="preserve">that T of </w:t>
      </w:r>
      <w:r>
        <w:t xml:space="preserve">~ 5 hours is sufficient for efficacy.  </w:t>
      </w:r>
      <w:r w:rsidR="00793FB1">
        <w:t>Since a single dose of oral sulopenem + probenecid showed a T&gt;MIC of 3.6 hours, a BID dose (2x a day), seems very plausible to show comparable (if not better) efficacy</w:t>
      </w:r>
      <w:r w:rsidR="00A65DE9">
        <w:t xml:space="preserve"> than the IV sulopenem.</w:t>
      </w:r>
    </w:p>
    <w:p w14:paraId="01AA0622" w14:textId="7DDCC17C" w:rsidR="0042742B" w:rsidRPr="00F36ECF" w:rsidRDefault="00F36ECF" w:rsidP="00A65DE9">
      <w:pPr>
        <w:ind w:left="360"/>
        <w:rPr>
          <w:b/>
          <w:bCs/>
          <w:sz w:val="18"/>
          <w:szCs w:val="18"/>
        </w:rPr>
      </w:pPr>
      <w:r w:rsidRPr="00A65DE9">
        <w:rPr>
          <w:noProof/>
        </w:rPr>
        <w:drawing>
          <wp:anchor distT="0" distB="0" distL="114300" distR="114300" simplePos="0" relativeHeight="251561984" behindDoc="1" locked="0" layoutInCell="1" allowOverlap="1" wp14:anchorId="4C20F012" wp14:editId="5F579F7A">
            <wp:simplePos x="0" y="0"/>
            <wp:positionH relativeFrom="column">
              <wp:posOffset>150799</wp:posOffset>
            </wp:positionH>
            <wp:positionV relativeFrom="paragraph">
              <wp:posOffset>6874</wp:posOffset>
            </wp:positionV>
            <wp:extent cx="5943600" cy="945515"/>
            <wp:effectExtent l="0" t="0" r="0" b="698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742B" w:rsidRPr="00F36ECF">
        <w:rPr>
          <w:b/>
          <w:bCs/>
          <w:sz w:val="18"/>
          <w:szCs w:val="18"/>
        </w:rPr>
        <w:t>Exhibit 1:</w:t>
      </w:r>
    </w:p>
    <w:p w14:paraId="1FCDE6CB" w14:textId="4E2BB572" w:rsidR="00A65DE9" w:rsidRDefault="00A65DE9" w:rsidP="00A65DE9">
      <w:pPr>
        <w:ind w:left="360"/>
      </w:pPr>
    </w:p>
    <w:p w14:paraId="6EFD0FC2" w14:textId="77777777" w:rsidR="00F36ECF" w:rsidRDefault="00F36ECF" w:rsidP="00364D4D">
      <w:pPr>
        <w:ind w:left="360"/>
        <w:rPr>
          <w:sz w:val="14"/>
          <w:szCs w:val="14"/>
        </w:rPr>
      </w:pPr>
    </w:p>
    <w:p w14:paraId="618BD9C8" w14:textId="77777777" w:rsidR="00F36ECF" w:rsidRDefault="00F36ECF" w:rsidP="00364D4D">
      <w:pPr>
        <w:ind w:left="360"/>
        <w:rPr>
          <w:sz w:val="14"/>
          <w:szCs w:val="14"/>
        </w:rPr>
      </w:pPr>
    </w:p>
    <w:p w14:paraId="60F3F979" w14:textId="4D2EB97A" w:rsidR="0042742B" w:rsidRPr="00364D4D" w:rsidRDefault="00A65DE9" w:rsidP="00364D4D">
      <w:pPr>
        <w:ind w:left="360"/>
        <w:rPr>
          <w:sz w:val="14"/>
          <w:szCs w:val="14"/>
        </w:rPr>
      </w:pPr>
      <w:r w:rsidRPr="00A65DE9">
        <w:rPr>
          <w:sz w:val="14"/>
          <w:szCs w:val="14"/>
        </w:rPr>
        <w:t>Source: 2018 10</w:t>
      </w:r>
      <w:r w:rsidR="00364D4D">
        <w:rPr>
          <w:sz w:val="14"/>
          <w:szCs w:val="14"/>
        </w:rPr>
        <w:t>k</w:t>
      </w:r>
    </w:p>
    <w:p w14:paraId="64EFB6F0" w14:textId="2FD6724A" w:rsidR="00CE13B1" w:rsidRPr="004F632F" w:rsidRDefault="00CE13B1" w:rsidP="00CE13B1">
      <w:pPr>
        <w:ind w:left="360"/>
        <w:rPr>
          <w:sz w:val="20"/>
          <w:szCs w:val="20"/>
        </w:rPr>
      </w:pPr>
      <w:r w:rsidRPr="004F632F">
        <w:rPr>
          <w:b/>
          <w:bCs/>
          <w:sz w:val="20"/>
          <w:szCs w:val="20"/>
        </w:rPr>
        <w:t xml:space="preserve">Key Takeaway:  </w:t>
      </w:r>
      <w:r w:rsidRPr="004F632F">
        <w:rPr>
          <w:sz w:val="20"/>
          <w:szCs w:val="20"/>
        </w:rPr>
        <w:t>Note the study in figure 1 shows that probenecid increases the AUC of sulopenem by 28.2% and extends the mean time over MIC, also 28.6%.</w:t>
      </w:r>
    </w:p>
    <w:p w14:paraId="0248C17B" w14:textId="0ABB9CCC" w:rsidR="00F36ECF" w:rsidRDefault="00F36ECF" w:rsidP="0042742B">
      <w:pPr>
        <w:ind w:left="360"/>
        <w:rPr>
          <w:b/>
          <w:bCs/>
        </w:rPr>
      </w:pPr>
    </w:p>
    <w:p w14:paraId="5A7AEB71" w14:textId="61DBC698" w:rsidR="004F60F4" w:rsidRDefault="004F60F4" w:rsidP="0042742B">
      <w:pPr>
        <w:ind w:left="360"/>
        <w:rPr>
          <w:b/>
          <w:bCs/>
        </w:rPr>
      </w:pPr>
    </w:p>
    <w:p w14:paraId="6A8D915C" w14:textId="77777777" w:rsidR="004F60F4" w:rsidRDefault="004F60F4" w:rsidP="0042742B">
      <w:pPr>
        <w:ind w:left="360"/>
        <w:rPr>
          <w:b/>
          <w:bCs/>
          <w:sz w:val="18"/>
          <w:szCs w:val="18"/>
        </w:rPr>
      </w:pPr>
    </w:p>
    <w:p w14:paraId="13FB14D2" w14:textId="09CF2365" w:rsidR="0042742B" w:rsidRPr="0042742B" w:rsidRDefault="00F36ECF" w:rsidP="0042742B">
      <w:pPr>
        <w:ind w:left="360"/>
        <w:rPr>
          <w:b/>
          <w:bCs/>
        </w:rPr>
      </w:pPr>
      <w:r w:rsidRPr="00F36ECF">
        <w:rPr>
          <w:noProof/>
          <w:sz w:val="18"/>
          <w:szCs w:val="18"/>
        </w:rPr>
        <w:lastRenderedPageBreak/>
        <w:drawing>
          <wp:anchor distT="0" distB="0" distL="114300" distR="114300" simplePos="0" relativeHeight="251625472" behindDoc="1" locked="0" layoutInCell="1" allowOverlap="1" wp14:anchorId="584B654E" wp14:editId="15B6EE27">
            <wp:simplePos x="0" y="0"/>
            <wp:positionH relativeFrom="column">
              <wp:posOffset>444500</wp:posOffset>
            </wp:positionH>
            <wp:positionV relativeFrom="paragraph">
              <wp:posOffset>158253</wp:posOffset>
            </wp:positionV>
            <wp:extent cx="5238694" cy="3218213"/>
            <wp:effectExtent l="0" t="0" r="635" b="127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694" cy="32182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742B" w:rsidRPr="00F36ECF">
        <w:rPr>
          <w:b/>
          <w:bCs/>
          <w:sz w:val="18"/>
          <w:szCs w:val="18"/>
        </w:rPr>
        <w:t>Exhibit 2</w:t>
      </w:r>
      <w:r>
        <w:rPr>
          <w:b/>
          <w:bCs/>
          <w:sz w:val="18"/>
          <w:szCs w:val="18"/>
        </w:rPr>
        <w:t>:</w:t>
      </w:r>
    </w:p>
    <w:p w14:paraId="775823CA" w14:textId="38ACA529" w:rsidR="00A65DE9" w:rsidRDefault="00A65DE9" w:rsidP="00A65DE9">
      <w:pPr>
        <w:ind w:left="360"/>
        <w:jc w:val="center"/>
      </w:pPr>
    </w:p>
    <w:p w14:paraId="6B97B1FB" w14:textId="77777777" w:rsidR="00F36ECF" w:rsidRDefault="00F36ECF" w:rsidP="00364D4D">
      <w:pPr>
        <w:ind w:left="360"/>
        <w:rPr>
          <w:sz w:val="14"/>
          <w:szCs w:val="14"/>
        </w:rPr>
      </w:pPr>
    </w:p>
    <w:p w14:paraId="0560177A" w14:textId="77777777" w:rsidR="00F36ECF" w:rsidRDefault="00F36ECF" w:rsidP="00364D4D">
      <w:pPr>
        <w:ind w:left="360"/>
        <w:rPr>
          <w:sz w:val="14"/>
          <w:szCs w:val="14"/>
        </w:rPr>
      </w:pPr>
    </w:p>
    <w:p w14:paraId="63E1A1D6" w14:textId="77777777" w:rsidR="00F36ECF" w:rsidRDefault="00F36ECF" w:rsidP="00364D4D">
      <w:pPr>
        <w:ind w:left="360"/>
        <w:rPr>
          <w:sz w:val="14"/>
          <w:szCs w:val="14"/>
        </w:rPr>
      </w:pPr>
    </w:p>
    <w:p w14:paraId="46F8AFAB" w14:textId="77777777" w:rsidR="00F36ECF" w:rsidRDefault="00F36ECF" w:rsidP="00364D4D">
      <w:pPr>
        <w:ind w:left="360"/>
        <w:rPr>
          <w:sz w:val="14"/>
          <w:szCs w:val="14"/>
        </w:rPr>
      </w:pPr>
    </w:p>
    <w:p w14:paraId="1159ADC2" w14:textId="77777777" w:rsidR="00F36ECF" w:rsidRDefault="00F36ECF" w:rsidP="00364D4D">
      <w:pPr>
        <w:ind w:left="360"/>
        <w:rPr>
          <w:sz w:val="14"/>
          <w:szCs w:val="14"/>
        </w:rPr>
      </w:pPr>
    </w:p>
    <w:p w14:paraId="15251826" w14:textId="77777777" w:rsidR="00F36ECF" w:rsidRDefault="00F36ECF" w:rsidP="00364D4D">
      <w:pPr>
        <w:ind w:left="360"/>
        <w:rPr>
          <w:sz w:val="14"/>
          <w:szCs w:val="14"/>
        </w:rPr>
      </w:pPr>
    </w:p>
    <w:p w14:paraId="13D51FB7" w14:textId="77777777" w:rsidR="00F36ECF" w:rsidRDefault="00F36ECF" w:rsidP="00364D4D">
      <w:pPr>
        <w:ind w:left="360"/>
        <w:rPr>
          <w:sz w:val="14"/>
          <w:szCs w:val="14"/>
        </w:rPr>
      </w:pPr>
    </w:p>
    <w:p w14:paraId="797FF832" w14:textId="77777777" w:rsidR="00F36ECF" w:rsidRDefault="00F36ECF" w:rsidP="00364D4D">
      <w:pPr>
        <w:ind w:left="360"/>
        <w:rPr>
          <w:sz w:val="14"/>
          <w:szCs w:val="14"/>
        </w:rPr>
      </w:pPr>
    </w:p>
    <w:p w14:paraId="657BD2C1" w14:textId="77777777" w:rsidR="00F36ECF" w:rsidRDefault="00F36ECF" w:rsidP="00364D4D">
      <w:pPr>
        <w:ind w:left="360"/>
        <w:rPr>
          <w:sz w:val="14"/>
          <w:szCs w:val="14"/>
        </w:rPr>
      </w:pPr>
    </w:p>
    <w:p w14:paraId="746D6355" w14:textId="77777777" w:rsidR="00F36ECF" w:rsidRDefault="00F36ECF" w:rsidP="00364D4D">
      <w:pPr>
        <w:ind w:left="360"/>
        <w:rPr>
          <w:sz w:val="14"/>
          <w:szCs w:val="14"/>
        </w:rPr>
      </w:pPr>
    </w:p>
    <w:p w14:paraId="4EC4B78D" w14:textId="4FC097E5" w:rsidR="00F36ECF" w:rsidRDefault="00F36ECF" w:rsidP="00364D4D">
      <w:pPr>
        <w:ind w:left="360"/>
        <w:rPr>
          <w:sz w:val="14"/>
          <w:szCs w:val="14"/>
        </w:rPr>
      </w:pPr>
    </w:p>
    <w:p w14:paraId="2A901265" w14:textId="1D0702DB" w:rsidR="00F36ECF" w:rsidRDefault="00F36ECF" w:rsidP="00364D4D">
      <w:pPr>
        <w:ind w:left="360"/>
        <w:rPr>
          <w:sz w:val="14"/>
          <w:szCs w:val="14"/>
        </w:rPr>
      </w:pPr>
    </w:p>
    <w:p w14:paraId="31055DC2" w14:textId="77777777" w:rsidR="00F36ECF" w:rsidRDefault="00F36ECF" w:rsidP="00364D4D">
      <w:pPr>
        <w:ind w:left="360"/>
        <w:rPr>
          <w:sz w:val="14"/>
          <w:szCs w:val="14"/>
        </w:rPr>
      </w:pPr>
    </w:p>
    <w:p w14:paraId="55A5A9B9" w14:textId="56C6B4DD" w:rsidR="0042742B" w:rsidRDefault="00A65DE9" w:rsidP="00364D4D">
      <w:pPr>
        <w:ind w:left="360"/>
        <w:rPr>
          <w:sz w:val="14"/>
          <w:szCs w:val="14"/>
        </w:rPr>
      </w:pPr>
      <w:r w:rsidRPr="00A65DE9">
        <w:rPr>
          <w:sz w:val="14"/>
          <w:szCs w:val="14"/>
        </w:rPr>
        <w:t>Source: 2018 10k</w:t>
      </w:r>
    </w:p>
    <w:p w14:paraId="20157933" w14:textId="77E9CD09" w:rsidR="002C51A4" w:rsidRPr="004F632F" w:rsidRDefault="00CE13B1" w:rsidP="00364D4D">
      <w:pPr>
        <w:ind w:left="360"/>
        <w:rPr>
          <w:sz w:val="20"/>
          <w:szCs w:val="20"/>
        </w:rPr>
      </w:pPr>
      <w:r w:rsidRPr="004F632F">
        <w:rPr>
          <w:b/>
          <w:bCs/>
          <w:sz w:val="20"/>
          <w:szCs w:val="20"/>
        </w:rPr>
        <w:t xml:space="preserve">Key Takeaway: </w:t>
      </w:r>
      <w:r w:rsidRPr="004F632F">
        <w:rPr>
          <w:sz w:val="20"/>
          <w:szCs w:val="20"/>
        </w:rPr>
        <w:t>Peak urine concentrations are almost 2,000-fold higher than the MIC</w:t>
      </w:r>
      <w:r w:rsidRPr="004F632F">
        <w:rPr>
          <w:sz w:val="20"/>
          <w:szCs w:val="20"/>
          <w:vertAlign w:val="subscript"/>
        </w:rPr>
        <w:t>90</w:t>
      </w:r>
      <w:r w:rsidRPr="004F632F">
        <w:rPr>
          <w:sz w:val="20"/>
          <w:szCs w:val="20"/>
        </w:rPr>
        <w:t>, and a single dose will exceed the MIC</w:t>
      </w:r>
      <w:proofErr w:type="gramStart"/>
      <w:r w:rsidRPr="004F632F">
        <w:rPr>
          <w:sz w:val="20"/>
          <w:szCs w:val="20"/>
          <w:vertAlign w:val="subscript"/>
        </w:rPr>
        <w:t xml:space="preserve">90  </w:t>
      </w:r>
      <w:r w:rsidRPr="004F632F">
        <w:rPr>
          <w:sz w:val="20"/>
          <w:szCs w:val="20"/>
        </w:rPr>
        <w:t>for</w:t>
      </w:r>
      <w:proofErr w:type="gramEnd"/>
      <w:r w:rsidRPr="004F632F">
        <w:rPr>
          <w:sz w:val="20"/>
          <w:szCs w:val="20"/>
        </w:rPr>
        <w:t xml:space="preserve"> the entire BID dosing interval. </w:t>
      </w:r>
    </w:p>
    <w:p w14:paraId="1F2451E9" w14:textId="09D3E3B3" w:rsidR="00E54E42" w:rsidRPr="004F632F" w:rsidRDefault="00793FB1" w:rsidP="0042742B">
      <w:pPr>
        <w:pStyle w:val="ListParagraph"/>
        <w:numPr>
          <w:ilvl w:val="0"/>
          <w:numId w:val="2"/>
        </w:numPr>
        <w:rPr>
          <w:b/>
          <w:bCs/>
        </w:rPr>
      </w:pPr>
      <w:r w:rsidRPr="004F632F">
        <w:rPr>
          <w:b/>
          <w:bCs/>
        </w:rPr>
        <w:t xml:space="preserve">Does sulopenem target the </w:t>
      </w:r>
      <w:r w:rsidR="00D87730" w:rsidRPr="004F632F">
        <w:rPr>
          <w:b/>
          <w:bCs/>
        </w:rPr>
        <w:t>proper pathogen</w:t>
      </w:r>
      <w:r w:rsidR="00A65DE9" w:rsidRPr="004F632F">
        <w:rPr>
          <w:b/>
          <w:bCs/>
        </w:rPr>
        <w:t>?</w:t>
      </w:r>
      <w:r w:rsidR="00D87730" w:rsidRPr="004F632F">
        <w:rPr>
          <w:b/>
          <w:bCs/>
        </w:rPr>
        <w:t xml:space="preserve"> </w:t>
      </w:r>
    </w:p>
    <w:p w14:paraId="19CDFC06" w14:textId="1ABA6CCC" w:rsidR="0042742B" w:rsidRDefault="00E54E42" w:rsidP="004F632F">
      <w:pPr>
        <w:pStyle w:val="NoSpacing"/>
        <w:ind w:left="360"/>
      </w:pPr>
      <w:r w:rsidRPr="00CE13B1">
        <w:t xml:space="preserve">While sulopenem did perform worse than some others in the </w:t>
      </w:r>
      <w:proofErr w:type="spellStart"/>
      <w:r w:rsidRPr="00CE13B1">
        <w:t>penem</w:t>
      </w:r>
      <w:proofErr w:type="spellEnd"/>
      <w:r w:rsidRPr="00CE13B1">
        <w:t xml:space="preserve"> class, it </w:t>
      </w:r>
      <w:r w:rsidR="00A65DE9" w:rsidRPr="00CE13B1">
        <w:t>shows</w:t>
      </w:r>
      <w:r w:rsidRPr="00CE13B1">
        <w:t xml:space="preserve"> clear in-vitro efficacy</w:t>
      </w:r>
      <w:r w:rsidR="006B4FAE">
        <w:t>.  N</w:t>
      </w:r>
      <w:r w:rsidRPr="00CE13B1">
        <w:t>ote sulopenem</w:t>
      </w:r>
      <w:r w:rsidR="006B4FAE">
        <w:t xml:space="preserve"> </w:t>
      </w:r>
      <w:r w:rsidRPr="00CE13B1">
        <w:t>MIC</w:t>
      </w:r>
      <w:proofErr w:type="gramStart"/>
      <w:r w:rsidRPr="00CE13B1">
        <w:rPr>
          <w:vertAlign w:val="subscript"/>
        </w:rPr>
        <w:t xml:space="preserve">90  </w:t>
      </w:r>
      <w:r w:rsidRPr="00CE13B1">
        <w:t>against</w:t>
      </w:r>
      <w:proofErr w:type="gramEnd"/>
      <w:r w:rsidRPr="00CE13B1">
        <w:t xml:space="preserve"> major organism</w:t>
      </w:r>
      <w:r w:rsidR="00A65DE9" w:rsidRPr="00CE13B1">
        <w:t>s associate</w:t>
      </w:r>
      <w:r w:rsidR="006B4FAE">
        <w:t>d</w:t>
      </w:r>
      <w:r w:rsidR="00A65DE9" w:rsidRPr="00CE13B1">
        <w:t xml:space="preserve"> with the indications Iterum is going after is </w:t>
      </w:r>
      <w:r w:rsidRPr="00CE13B1">
        <w:t>less than 1 ug/mL</w:t>
      </w:r>
      <w:r w:rsidR="004F60F4">
        <w:t xml:space="preserve"> (Less than 4 </w:t>
      </w:r>
      <w:proofErr w:type="spellStart"/>
      <w:r w:rsidR="004F60F4">
        <w:t>uG</w:t>
      </w:r>
      <w:proofErr w:type="spellEnd"/>
      <w:r w:rsidR="004F60F4">
        <w:t>/mL tends to be the standard for efficacy)</w:t>
      </w:r>
      <w:r w:rsidR="0042742B" w:rsidRPr="00CE13B1">
        <w:t>.</w:t>
      </w:r>
    </w:p>
    <w:p w14:paraId="67370F3B" w14:textId="77777777" w:rsidR="00CE13B1" w:rsidRPr="00CE13B1" w:rsidRDefault="00CE13B1" w:rsidP="00CE13B1">
      <w:pPr>
        <w:pStyle w:val="NoSpacing"/>
      </w:pPr>
    </w:p>
    <w:p w14:paraId="26C4845F" w14:textId="46082BE0" w:rsidR="0042742B" w:rsidRPr="00F36ECF" w:rsidRDefault="004F60F4">
      <w:pPr>
        <w:rPr>
          <w:b/>
          <w:bCs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83840" behindDoc="1" locked="0" layoutInCell="1" allowOverlap="1" wp14:anchorId="32098197" wp14:editId="42881C1F">
            <wp:simplePos x="0" y="0"/>
            <wp:positionH relativeFrom="margin">
              <wp:align>right</wp:align>
            </wp:positionH>
            <wp:positionV relativeFrom="paragraph">
              <wp:posOffset>156680</wp:posOffset>
            </wp:positionV>
            <wp:extent cx="5943600" cy="2702560"/>
            <wp:effectExtent l="0" t="0" r="0" b="254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79"/>
                    <a:stretch/>
                  </pic:blipFill>
                  <pic:spPr bwMode="auto">
                    <a:xfrm>
                      <a:off x="0" y="0"/>
                      <a:ext cx="5943600" cy="2702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742B" w:rsidRPr="00F36ECF">
        <w:rPr>
          <w:b/>
          <w:bCs/>
          <w:sz w:val="18"/>
          <w:szCs w:val="18"/>
        </w:rPr>
        <w:t>Exhibit 3:</w:t>
      </w:r>
    </w:p>
    <w:p w14:paraId="3AA95337" w14:textId="6A43CC79" w:rsidR="00105FDF" w:rsidRDefault="00105FDF" w:rsidP="004F60F4">
      <w:pPr>
        <w:jc w:val="center"/>
      </w:pPr>
    </w:p>
    <w:p w14:paraId="579E18F0" w14:textId="77777777" w:rsidR="004F60F4" w:rsidRDefault="004F60F4">
      <w:pPr>
        <w:rPr>
          <w:b/>
          <w:bCs/>
          <w:sz w:val="24"/>
          <w:szCs w:val="24"/>
        </w:rPr>
      </w:pPr>
    </w:p>
    <w:p w14:paraId="29463993" w14:textId="77777777" w:rsidR="004F60F4" w:rsidRDefault="004F60F4">
      <w:pPr>
        <w:rPr>
          <w:b/>
          <w:bCs/>
          <w:sz w:val="24"/>
          <w:szCs w:val="24"/>
        </w:rPr>
      </w:pPr>
    </w:p>
    <w:p w14:paraId="67EA4207" w14:textId="77777777" w:rsidR="004F60F4" w:rsidRDefault="004F60F4">
      <w:pPr>
        <w:rPr>
          <w:b/>
          <w:bCs/>
          <w:sz w:val="24"/>
          <w:szCs w:val="24"/>
        </w:rPr>
      </w:pPr>
    </w:p>
    <w:p w14:paraId="47611C5C" w14:textId="77777777" w:rsidR="004F60F4" w:rsidRDefault="004F60F4">
      <w:pPr>
        <w:rPr>
          <w:b/>
          <w:bCs/>
          <w:sz w:val="24"/>
          <w:szCs w:val="24"/>
        </w:rPr>
      </w:pPr>
    </w:p>
    <w:p w14:paraId="08571539" w14:textId="77777777" w:rsidR="004F60F4" w:rsidRDefault="004F60F4">
      <w:pPr>
        <w:rPr>
          <w:b/>
          <w:bCs/>
          <w:sz w:val="24"/>
          <w:szCs w:val="24"/>
        </w:rPr>
      </w:pPr>
    </w:p>
    <w:p w14:paraId="1BBA55EB" w14:textId="77777777" w:rsidR="004F60F4" w:rsidRDefault="004F60F4">
      <w:pPr>
        <w:rPr>
          <w:b/>
          <w:bCs/>
          <w:sz w:val="24"/>
          <w:szCs w:val="24"/>
        </w:rPr>
      </w:pPr>
    </w:p>
    <w:p w14:paraId="5E1C1EED" w14:textId="77777777" w:rsidR="004F60F4" w:rsidRDefault="004F60F4">
      <w:pPr>
        <w:rPr>
          <w:b/>
          <w:bCs/>
          <w:sz w:val="24"/>
          <w:szCs w:val="24"/>
        </w:rPr>
      </w:pPr>
    </w:p>
    <w:p w14:paraId="49AD4C83" w14:textId="77777777" w:rsidR="004F60F4" w:rsidRDefault="004F60F4">
      <w:pPr>
        <w:rPr>
          <w:b/>
          <w:bCs/>
          <w:sz w:val="24"/>
          <w:szCs w:val="24"/>
        </w:rPr>
      </w:pPr>
    </w:p>
    <w:p w14:paraId="0C339DDA" w14:textId="00627F7F" w:rsidR="00CE13B1" w:rsidRPr="004F632F" w:rsidRDefault="004F60F4" w:rsidP="004F632F">
      <w:pPr>
        <w:pStyle w:val="NoSpacing"/>
        <w:ind w:left="720"/>
        <w:rPr>
          <w:sz w:val="20"/>
          <w:szCs w:val="20"/>
        </w:rPr>
      </w:pPr>
      <w:r w:rsidRPr="004F632F">
        <w:rPr>
          <w:b/>
          <w:bCs/>
          <w:sz w:val="20"/>
          <w:szCs w:val="20"/>
        </w:rPr>
        <w:t xml:space="preserve">Key Takeaway: </w:t>
      </w:r>
      <w:r w:rsidR="006B4FAE" w:rsidRPr="004F632F">
        <w:rPr>
          <w:b/>
          <w:bCs/>
          <w:sz w:val="20"/>
          <w:szCs w:val="20"/>
        </w:rPr>
        <w:t xml:space="preserve"> </w:t>
      </w:r>
      <w:r w:rsidR="006B4FAE" w:rsidRPr="004F632F">
        <w:rPr>
          <w:sz w:val="20"/>
          <w:szCs w:val="20"/>
        </w:rPr>
        <w:t xml:space="preserve">While sulopenem did perform worse than some others in the </w:t>
      </w:r>
      <w:proofErr w:type="spellStart"/>
      <w:r w:rsidR="006B4FAE" w:rsidRPr="004F632F">
        <w:rPr>
          <w:sz w:val="20"/>
          <w:szCs w:val="20"/>
        </w:rPr>
        <w:t>penem</w:t>
      </w:r>
      <w:proofErr w:type="spellEnd"/>
      <w:r w:rsidR="006B4FAE" w:rsidRPr="004F632F">
        <w:rPr>
          <w:sz w:val="20"/>
          <w:szCs w:val="20"/>
        </w:rPr>
        <w:t xml:space="preserve"> class, it shows clear in-vitro efficacy.  In other words, while not the best, it is clearly good enough. Further note, MIC</w:t>
      </w:r>
      <w:proofErr w:type="gramStart"/>
      <w:r w:rsidR="006B4FAE" w:rsidRPr="004F632F">
        <w:rPr>
          <w:sz w:val="20"/>
          <w:szCs w:val="20"/>
          <w:vertAlign w:val="subscript"/>
        </w:rPr>
        <w:t xml:space="preserve">90  </w:t>
      </w:r>
      <w:r w:rsidR="006B4FAE" w:rsidRPr="004F632F">
        <w:rPr>
          <w:sz w:val="20"/>
          <w:szCs w:val="20"/>
        </w:rPr>
        <w:t>against</w:t>
      </w:r>
      <w:proofErr w:type="gramEnd"/>
      <w:r w:rsidR="006B4FAE" w:rsidRPr="004F632F">
        <w:rPr>
          <w:sz w:val="20"/>
          <w:szCs w:val="20"/>
        </w:rPr>
        <w:t xml:space="preserve"> major organisms associate with the indications Iterum is going after is less than 1 ug/mL (Less than 4 </w:t>
      </w:r>
      <w:proofErr w:type="spellStart"/>
      <w:r w:rsidR="006B4FAE" w:rsidRPr="004F632F">
        <w:rPr>
          <w:sz w:val="20"/>
          <w:szCs w:val="20"/>
        </w:rPr>
        <w:t>uG</w:t>
      </w:r>
      <w:proofErr w:type="spellEnd"/>
      <w:r w:rsidR="006B4FAE" w:rsidRPr="004F632F">
        <w:rPr>
          <w:sz w:val="20"/>
          <w:szCs w:val="20"/>
        </w:rPr>
        <w:t>/mL tends to be the standard for efficacy).</w:t>
      </w:r>
    </w:p>
    <w:p w14:paraId="5DC1E3DB" w14:textId="77777777" w:rsidR="006B4FAE" w:rsidRPr="006B4FAE" w:rsidRDefault="006B4FAE" w:rsidP="006B4FAE">
      <w:pPr>
        <w:pStyle w:val="NoSpacing"/>
      </w:pPr>
    </w:p>
    <w:p w14:paraId="2969AC44" w14:textId="0050ED02" w:rsidR="004F60F4" w:rsidRDefault="004F60F4" w:rsidP="004F60F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Safety Profile</w:t>
      </w:r>
    </w:p>
    <w:p w14:paraId="3BA105DF" w14:textId="09D4328D" w:rsidR="00365D2A" w:rsidRPr="00365D2A" w:rsidRDefault="00365D2A" w:rsidP="004F60F4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E</w:t>
      </w:r>
      <w:r w:rsidRPr="00F36ECF">
        <w:rPr>
          <w:b/>
          <w:bCs/>
          <w:sz w:val="18"/>
          <w:szCs w:val="18"/>
        </w:rPr>
        <w:t>xhibit 3:</w:t>
      </w:r>
    </w:p>
    <w:p w14:paraId="56026D4A" w14:textId="77777777" w:rsidR="004F60F4" w:rsidRPr="002C51A4" w:rsidRDefault="004F60F4" w:rsidP="004F60F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92869DC" wp14:editId="0E71DFFC">
            <wp:extent cx="5943600" cy="2051685"/>
            <wp:effectExtent l="0" t="0" r="0" b="571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FE67A" w14:textId="434927C5" w:rsidR="004F60F4" w:rsidRPr="004F632F" w:rsidRDefault="004F60F4" w:rsidP="004F632F">
      <w:pPr>
        <w:ind w:left="720"/>
      </w:pPr>
      <w:r w:rsidRPr="004F632F">
        <w:rPr>
          <w:b/>
          <w:bCs/>
        </w:rPr>
        <w:t xml:space="preserve">Key Takeaway: </w:t>
      </w:r>
      <w:r w:rsidRPr="004F632F">
        <w:t>We don’t believe there are any safety or toxicity issues with either the IV or oral dosing of sulopenem.</w:t>
      </w:r>
    </w:p>
    <w:p w14:paraId="2A9C6D06" w14:textId="6CA38345" w:rsidR="00DF0499" w:rsidRPr="00364D4D" w:rsidRDefault="00DF0499">
      <w:pPr>
        <w:rPr>
          <w:b/>
          <w:bCs/>
          <w:sz w:val="24"/>
          <w:szCs w:val="24"/>
        </w:rPr>
      </w:pPr>
      <w:r w:rsidRPr="00364D4D">
        <w:rPr>
          <w:b/>
          <w:bCs/>
          <w:sz w:val="24"/>
          <w:szCs w:val="24"/>
        </w:rPr>
        <w:t>Market</w:t>
      </w:r>
    </w:p>
    <w:p w14:paraId="1A7C6938" w14:textId="09AEE3C1" w:rsidR="00265FB4" w:rsidRDefault="00DF0499" w:rsidP="004F632F">
      <w:r>
        <w:t>The leading indication is for Urinary Tract Infections (UTI)</w:t>
      </w:r>
      <w:r w:rsidR="002D60FA">
        <w:t xml:space="preserve"> – will make up majority of the sales</w:t>
      </w:r>
      <w:r>
        <w:t>.  Iterum’s differentiator is th</w:t>
      </w:r>
      <w:r w:rsidR="00265FB4">
        <w:t>at they are developing a</w:t>
      </w:r>
      <w:r w:rsidR="00365D2A">
        <w:t xml:space="preserve">n </w:t>
      </w:r>
      <w:r w:rsidR="00265FB4">
        <w:t xml:space="preserve">oral formulation for a step down from the IV – the market outside the hospital is an attractive commercial opportunity. For instance, Alan </w:t>
      </w:r>
      <w:proofErr w:type="spellStart"/>
      <w:r w:rsidR="00265FB4">
        <w:t>Carr</w:t>
      </w:r>
      <w:proofErr w:type="spellEnd"/>
      <w:r w:rsidR="00265FB4">
        <w:t xml:space="preserve"> at Needham thinks it is a $500M - $1B opportunity. </w:t>
      </w:r>
      <w:r w:rsidR="002D60FA">
        <w:t xml:space="preserve">  </w:t>
      </w:r>
      <w:r w:rsidR="00365D2A">
        <w:t>It will</w:t>
      </w:r>
      <w:r w:rsidR="002D60FA">
        <w:t xml:space="preserve"> compete in the market of the ~260k </w:t>
      </w:r>
      <w:proofErr w:type="spellStart"/>
      <w:r w:rsidR="002D60FA">
        <w:t>penem</w:t>
      </w:r>
      <w:proofErr w:type="spellEnd"/>
      <w:r w:rsidR="002D60FA">
        <w:t xml:space="preserve"> scripts per year – oral formulation provides</w:t>
      </w:r>
      <w:r w:rsidR="00365D2A">
        <w:t xml:space="preserve"> a clear</w:t>
      </w:r>
      <w:r w:rsidR="002D60FA">
        <w:t xml:space="preserve"> differentiator.</w:t>
      </w:r>
    </w:p>
    <w:p w14:paraId="1D1E094F" w14:textId="0B2982BF" w:rsidR="00A954E7" w:rsidRPr="00364D4D" w:rsidRDefault="00364D4D" w:rsidP="00A954E7">
      <w:pPr>
        <w:rPr>
          <w:b/>
          <w:bCs/>
          <w:sz w:val="24"/>
          <w:szCs w:val="24"/>
        </w:rPr>
      </w:pPr>
      <w:r w:rsidRPr="00364D4D">
        <w:rPr>
          <w:b/>
          <w:bCs/>
          <w:sz w:val="24"/>
          <w:szCs w:val="24"/>
        </w:rPr>
        <w:t>Other Points of Note</w:t>
      </w:r>
    </w:p>
    <w:p w14:paraId="04EC371F" w14:textId="3B1DF220" w:rsidR="00364D4D" w:rsidRDefault="00A954E7" w:rsidP="00364D4D">
      <w:pPr>
        <w:pStyle w:val="ListParagraph"/>
        <w:numPr>
          <w:ilvl w:val="0"/>
          <w:numId w:val="3"/>
        </w:numPr>
      </w:pPr>
      <w:r>
        <w:t xml:space="preserve">Strong global rights &amp; exclusivity (composition patent through 2034 (2029 + 5 </w:t>
      </w:r>
      <w:proofErr w:type="spellStart"/>
      <w:r>
        <w:t>yr</w:t>
      </w:r>
      <w:proofErr w:type="spellEnd"/>
      <w:r>
        <w:t xml:space="preserve"> extension)</w:t>
      </w:r>
    </w:p>
    <w:p w14:paraId="2EA21C75" w14:textId="5C81F66A" w:rsidR="00CC3710" w:rsidRDefault="00CC3710" w:rsidP="00CC3710">
      <w:pPr>
        <w:pStyle w:val="ListParagraph"/>
        <w:numPr>
          <w:ilvl w:val="0"/>
          <w:numId w:val="3"/>
        </w:numPr>
      </w:pPr>
      <w:r>
        <w:t xml:space="preserve">Iterum has 3 studies under SPA with the FDA.  They are all Non-inferiority (it’s not worse than the comparator), however, superiority will help commercial success, especially for </w:t>
      </w:r>
      <w:proofErr w:type="spellStart"/>
      <w:r>
        <w:t>uUTI</w:t>
      </w:r>
      <w:proofErr w:type="spellEnd"/>
    </w:p>
    <w:p w14:paraId="09E5DCD9" w14:textId="7DD55ED5" w:rsidR="00741E94" w:rsidRPr="00364D4D" w:rsidRDefault="00741E94">
      <w:pPr>
        <w:rPr>
          <w:b/>
          <w:bCs/>
          <w:sz w:val="24"/>
          <w:szCs w:val="24"/>
        </w:rPr>
      </w:pPr>
      <w:r w:rsidRPr="00364D4D">
        <w:rPr>
          <w:b/>
          <w:bCs/>
          <w:sz w:val="24"/>
          <w:szCs w:val="24"/>
        </w:rPr>
        <w:t>Risks:</w:t>
      </w:r>
    </w:p>
    <w:p w14:paraId="04E97BF8" w14:textId="2CFA2D2B" w:rsidR="00EB1787" w:rsidRDefault="00741E94" w:rsidP="00EB1787">
      <w:pPr>
        <w:pStyle w:val="ListParagraph"/>
        <w:numPr>
          <w:ilvl w:val="0"/>
          <w:numId w:val="1"/>
        </w:numPr>
      </w:pPr>
      <w:r>
        <w:t>All three, or any 3, of the Phase III trials due to read out in Q4 could fail to meet their endpoint.</w:t>
      </w:r>
    </w:p>
    <w:p w14:paraId="427BE9B9" w14:textId="1564274D" w:rsidR="002D60FA" w:rsidRDefault="002D60FA" w:rsidP="00741E94">
      <w:pPr>
        <w:pStyle w:val="ListParagraph"/>
        <w:numPr>
          <w:ilvl w:val="0"/>
          <w:numId w:val="1"/>
        </w:numPr>
      </w:pPr>
      <w:r>
        <w:t xml:space="preserve">Changing </w:t>
      </w:r>
      <w:r w:rsidR="004F632F">
        <w:t>dosing</w:t>
      </w:r>
      <w:r>
        <w:t xml:space="preserve"> from 500mg 2x a day to 1g 1x per day</w:t>
      </w:r>
    </w:p>
    <w:p w14:paraId="3E4473B0" w14:textId="2D325E1B" w:rsidR="00365D2A" w:rsidRDefault="00365D2A" w:rsidP="00741E94">
      <w:pPr>
        <w:pStyle w:val="ListParagraph"/>
        <w:numPr>
          <w:ilvl w:val="0"/>
          <w:numId w:val="1"/>
        </w:numPr>
      </w:pPr>
      <w:r>
        <w:t>Licensing Agreement with Pfizer/ Will need to issue shares</w:t>
      </w:r>
    </w:p>
    <w:p w14:paraId="29D0BEEB" w14:textId="3C9D0A6B" w:rsidR="00741E94" w:rsidRPr="00364D4D" w:rsidRDefault="00741E94">
      <w:pPr>
        <w:rPr>
          <w:b/>
          <w:bCs/>
          <w:sz w:val="24"/>
          <w:szCs w:val="24"/>
        </w:rPr>
      </w:pPr>
      <w:r w:rsidRPr="00364D4D">
        <w:rPr>
          <w:b/>
          <w:bCs/>
          <w:sz w:val="24"/>
          <w:szCs w:val="24"/>
        </w:rPr>
        <w:t>Valuation:</w:t>
      </w:r>
    </w:p>
    <w:p w14:paraId="1D4ADD30" w14:textId="0CC47184" w:rsidR="006821BC" w:rsidRDefault="006821BC">
      <w:r>
        <w:t xml:space="preserve">Our analysis shows that the value of the company is at least $100M if any single indication gains approval.  </w:t>
      </w:r>
      <w:r w:rsidR="004F632F">
        <w:t xml:space="preserve">Realistically, we think this company has a value between $300-$500M if they pass these </w:t>
      </w:r>
      <w:proofErr w:type="spellStart"/>
      <w:r w:rsidR="004F632F">
        <w:t>Phas</w:t>
      </w:r>
      <w:proofErr w:type="spellEnd"/>
      <w:r w:rsidR="004F632F">
        <w:t xml:space="preserve"> III trials. </w:t>
      </w:r>
    </w:p>
    <w:p w14:paraId="650BF8E1" w14:textId="7C45D009" w:rsidR="004E6CAC" w:rsidRPr="00364D4D" w:rsidRDefault="00741E94">
      <w:pPr>
        <w:rPr>
          <w:b/>
          <w:bCs/>
          <w:sz w:val="24"/>
          <w:szCs w:val="24"/>
        </w:rPr>
      </w:pPr>
      <w:r w:rsidRPr="00364D4D">
        <w:rPr>
          <w:b/>
          <w:bCs/>
          <w:sz w:val="24"/>
          <w:szCs w:val="24"/>
        </w:rPr>
        <w:t>Conclusion:</w:t>
      </w:r>
    </w:p>
    <w:p w14:paraId="3569C900" w14:textId="33FB851F" w:rsidR="00E54E42" w:rsidRPr="00DA734F" w:rsidRDefault="004E6CAC">
      <w:r>
        <w:t xml:space="preserve">We believe this is an opportunity that can return multiples in the short term and could be 5x-10x in the </w:t>
      </w:r>
      <w:proofErr w:type="gramStart"/>
      <w:r>
        <w:t>18-24 month</w:t>
      </w:r>
      <w:proofErr w:type="gramEnd"/>
      <w:r>
        <w:t xml:space="preserve"> range.   </w:t>
      </w:r>
      <w:r w:rsidR="004F60F4">
        <w:t xml:space="preserve">We think the probability of success in either </w:t>
      </w:r>
      <w:proofErr w:type="spellStart"/>
      <w:r w:rsidR="004F60F4">
        <w:t>uUTI</w:t>
      </w:r>
      <w:proofErr w:type="spellEnd"/>
      <w:r w:rsidR="004F60F4">
        <w:t xml:space="preserve"> or </w:t>
      </w:r>
      <w:proofErr w:type="spellStart"/>
      <w:r w:rsidR="004F60F4">
        <w:t>cUTI</w:t>
      </w:r>
      <w:proofErr w:type="spellEnd"/>
      <w:r w:rsidR="004F60F4">
        <w:t xml:space="preserve"> is ~70%.   If all three trials fail, we expect the value to be ~$2</w:t>
      </w:r>
      <w:r w:rsidR="00365D2A">
        <w:t>5</w:t>
      </w:r>
      <w:r w:rsidR="004F60F4">
        <w:t>M – as determined by cash on hand</w:t>
      </w:r>
      <w:r w:rsidR="00365D2A">
        <w:t xml:space="preserve"> – which represents a 50% decline.</w:t>
      </w:r>
    </w:p>
    <w:sectPr w:rsidR="00E54E42" w:rsidRPr="00DA734F" w:rsidSect="00365D2A">
      <w:headerReference w:type="default" r:id="rId11"/>
      <w:headerReference w:type="first" r:id="rId12"/>
      <w:pgSz w:w="12240" w:h="15840"/>
      <w:pgMar w:top="1080" w:right="1440" w:bottom="1080" w:left="1440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5618FD" w14:textId="77777777" w:rsidR="00BD6D2B" w:rsidRDefault="00BD6D2B" w:rsidP="00741E94">
      <w:pPr>
        <w:spacing w:after="0" w:line="240" w:lineRule="auto"/>
      </w:pPr>
      <w:r>
        <w:separator/>
      </w:r>
    </w:p>
  </w:endnote>
  <w:endnote w:type="continuationSeparator" w:id="0">
    <w:p w14:paraId="46EB2352" w14:textId="77777777" w:rsidR="00BD6D2B" w:rsidRDefault="00BD6D2B" w:rsidP="00741E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9E9822" w14:textId="77777777" w:rsidR="00BD6D2B" w:rsidRDefault="00BD6D2B" w:rsidP="00741E94">
      <w:pPr>
        <w:spacing w:after="0" w:line="240" w:lineRule="auto"/>
      </w:pPr>
      <w:r>
        <w:separator/>
      </w:r>
    </w:p>
  </w:footnote>
  <w:footnote w:type="continuationSeparator" w:id="0">
    <w:p w14:paraId="0B64E9ED" w14:textId="77777777" w:rsidR="00BD6D2B" w:rsidRDefault="00BD6D2B" w:rsidP="00741E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FB0B43" w14:textId="4652451A" w:rsidR="00081CA0" w:rsidRPr="00110709" w:rsidRDefault="00081CA0">
    <w:pPr>
      <w:pStyle w:val="Header"/>
      <w:rPr>
        <w:color w:val="777777"/>
        <w:sz w:val="20"/>
        <w:szCs w:val="20"/>
      </w:rPr>
    </w:pPr>
    <w:r w:rsidRPr="00110709">
      <w:rPr>
        <w:color w:val="777777"/>
        <w:sz w:val="20"/>
        <w:szCs w:val="20"/>
      </w:rPr>
      <w:t>Research Report</w:t>
    </w:r>
    <w:r w:rsidRPr="00110709">
      <w:rPr>
        <w:color w:val="777777"/>
        <w:sz w:val="20"/>
        <w:szCs w:val="20"/>
      </w:rPr>
      <w:tab/>
      <w:t>Iterum Therapeutics</w:t>
    </w:r>
    <w:r w:rsidRPr="00110709">
      <w:rPr>
        <w:color w:val="777777"/>
        <w:sz w:val="20"/>
        <w:szCs w:val="20"/>
      </w:rPr>
      <w:tab/>
      <w:t>October 2019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6E2C0A" w14:textId="1FB4AD9E" w:rsidR="008875E6" w:rsidRPr="00081CA0" w:rsidRDefault="008875E6" w:rsidP="008875E6">
    <w:pPr>
      <w:pStyle w:val="Header"/>
      <w:rPr>
        <w:color w:val="315588"/>
        <w:sz w:val="28"/>
        <w:szCs w:val="28"/>
      </w:rPr>
    </w:pPr>
    <w:r w:rsidRPr="008875E6">
      <w:rPr>
        <w:color w:val="315588"/>
        <w:sz w:val="32"/>
        <w:szCs w:val="32"/>
      </w:rPr>
      <w:t xml:space="preserve">Nambius </w:t>
    </w:r>
    <w:r w:rsidR="00081CA0">
      <w:rPr>
        <w:color w:val="315588"/>
        <w:sz w:val="32"/>
        <w:szCs w:val="32"/>
      </w:rPr>
      <w:tab/>
    </w:r>
    <w:r w:rsidR="00081CA0">
      <w:rPr>
        <w:color w:val="315588"/>
        <w:sz w:val="32"/>
        <w:szCs w:val="32"/>
      </w:rPr>
      <w:tab/>
    </w:r>
  </w:p>
  <w:p w14:paraId="2A9C7A1D" w14:textId="77A1C373" w:rsidR="008875E6" w:rsidRPr="008875E6" w:rsidRDefault="008875E6" w:rsidP="008875E6">
    <w:pPr>
      <w:pStyle w:val="Header"/>
      <w:jc w:val="right"/>
      <w:rPr>
        <w:color w:val="777777"/>
      </w:rPr>
    </w:pPr>
    <w:r w:rsidRPr="008875E6">
      <w:rPr>
        <w:color w:val="777777"/>
        <w:sz w:val="32"/>
        <w:szCs w:val="32"/>
      </w:rPr>
      <w:t>Capital Research</w:t>
    </w:r>
    <w:r w:rsidRPr="008875E6">
      <w:rPr>
        <w:color w:val="777777"/>
      </w:rPr>
      <w:tab/>
    </w:r>
    <w:r w:rsidRPr="008875E6">
      <w:rPr>
        <w:color w:val="777777"/>
      </w:rPr>
      <w:tab/>
    </w:r>
    <w:r w:rsidR="00081CA0">
      <w:rPr>
        <w:color w:val="777777"/>
      </w:rPr>
      <w:t>October 2019</w:t>
    </w:r>
    <w:r>
      <w:rPr>
        <w:color w:val="777777"/>
      </w:rPr>
      <w:ptab w:relativeTo="margin" w:alignment="right" w:leader="none"/>
    </w:r>
  </w:p>
  <w:p w14:paraId="33100E9F" w14:textId="77777777" w:rsidR="008875E6" w:rsidRDefault="008875E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8B049E"/>
    <w:multiLevelType w:val="hybridMultilevel"/>
    <w:tmpl w:val="938CE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B32EB0"/>
    <w:multiLevelType w:val="hybridMultilevel"/>
    <w:tmpl w:val="BBF2D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DA72B5"/>
    <w:multiLevelType w:val="hybridMultilevel"/>
    <w:tmpl w:val="C3A89E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1FC"/>
    <w:rsid w:val="000518E7"/>
    <w:rsid w:val="00081CA0"/>
    <w:rsid w:val="00105FDF"/>
    <w:rsid w:val="00110709"/>
    <w:rsid w:val="0018254A"/>
    <w:rsid w:val="001C32B4"/>
    <w:rsid w:val="00265FB4"/>
    <w:rsid w:val="002C51A4"/>
    <w:rsid w:val="002D60FA"/>
    <w:rsid w:val="003141FC"/>
    <w:rsid w:val="00364D4D"/>
    <w:rsid w:val="00365D2A"/>
    <w:rsid w:val="003708D4"/>
    <w:rsid w:val="003737DB"/>
    <w:rsid w:val="0042742B"/>
    <w:rsid w:val="004C21DD"/>
    <w:rsid w:val="004E6CAC"/>
    <w:rsid w:val="004F60F4"/>
    <w:rsid w:val="004F632F"/>
    <w:rsid w:val="00505B49"/>
    <w:rsid w:val="005D1AF0"/>
    <w:rsid w:val="006821BC"/>
    <w:rsid w:val="006B4FAE"/>
    <w:rsid w:val="00727FCC"/>
    <w:rsid w:val="00741E94"/>
    <w:rsid w:val="00765DEF"/>
    <w:rsid w:val="00786507"/>
    <w:rsid w:val="00793FB1"/>
    <w:rsid w:val="008875E6"/>
    <w:rsid w:val="0091408C"/>
    <w:rsid w:val="009D726E"/>
    <w:rsid w:val="009E05DE"/>
    <w:rsid w:val="009F1D87"/>
    <w:rsid w:val="00A025A2"/>
    <w:rsid w:val="00A04E10"/>
    <w:rsid w:val="00A65DE9"/>
    <w:rsid w:val="00A954E7"/>
    <w:rsid w:val="00AF56FB"/>
    <w:rsid w:val="00B568D4"/>
    <w:rsid w:val="00BD2B70"/>
    <w:rsid w:val="00BD6D2B"/>
    <w:rsid w:val="00C837FA"/>
    <w:rsid w:val="00C96821"/>
    <w:rsid w:val="00CC3710"/>
    <w:rsid w:val="00CE13B1"/>
    <w:rsid w:val="00D87730"/>
    <w:rsid w:val="00DA734F"/>
    <w:rsid w:val="00DF0499"/>
    <w:rsid w:val="00E54E42"/>
    <w:rsid w:val="00EA2220"/>
    <w:rsid w:val="00EB1787"/>
    <w:rsid w:val="00F11F27"/>
    <w:rsid w:val="00F36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A0B984"/>
  <w15:chartTrackingRefBased/>
  <w15:docId w15:val="{013C9566-8BDF-4CAC-94C7-6268005B8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1E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1E94"/>
  </w:style>
  <w:style w:type="paragraph" w:styleId="Footer">
    <w:name w:val="footer"/>
    <w:basedOn w:val="Normal"/>
    <w:link w:val="FooterChar"/>
    <w:uiPriority w:val="99"/>
    <w:unhideWhenUsed/>
    <w:rsid w:val="00741E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1E94"/>
  </w:style>
  <w:style w:type="paragraph" w:styleId="NoSpacing">
    <w:name w:val="No Spacing"/>
    <w:uiPriority w:val="1"/>
    <w:qFormat/>
    <w:rsid w:val="00741E9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41E94"/>
    <w:pPr>
      <w:ind w:left="720"/>
      <w:contextualSpacing/>
    </w:pPr>
  </w:style>
  <w:style w:type="table" w:styleId="TableGrid">
    <w:name w:val="Table Grid"/>
    <w:basedOn w:val="TableNormal"/>
    <w:uiPriority w:val="39"/>
    <w:rsid w:val="001C32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A22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22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745</Words>
  <Characters>4247</Characters>
  <Application>Microsoft Macintosh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</dc:creator>
  <cp:keywords/>
  <dc:description/>
  <cp:lastModifiedBy>Microsoft Office User</cp:lastModifiedBy>
  <cp:revision>2</cp:revision>
  <cp:lastPrinted>2019-10-29T06:23:00Z</cp:lastPrinted>
  <dcterms:created xsi:type="dcterms:W3CDTF">2019-10-30T07:17:00Z</dcterms:created>
  <dcterms:modified xsi:type="dcterms:W3CDTF">2019-10-30T07:17:00Z</dcterms:modified>
</cp:coreProperties>
</file>