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gf903sbxwy8s" w:id="0"/>
      <w:bookmarkEnd w:id="0"/>
      <w:r w:rsidDel="00000000" w:rsidR="00000000" w:rsidRPr="00000000">
        <w:rPr>
          <w:rFonts w:ascii="Times New Roman" w:cs="Times New Roman" w:eastAsia="Times New Roman" w:hAnsi="Times New Roman"/>
          <w:sz w:val="24"/>
          <w:szCs w:val="24"/>
          <w:rtl w:val="0"/>
        </w:rPr>
        <w:t xml:space="preserve">Earning my Ph.D. at the University of Minnesota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xn8a3bp4b9i0" w:id="1"/>
      <w:bookmarkEnd w:id="1"/>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sap52zr2fkkx" w:id="3"/>
      <w:bookmarkEnd w:id="3"/>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7c9e271d42ne" w:id="4"/>
      <w:bookmarkEnd w:id="4"/>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2udjz3dq55q4" w:id="5"/>
      <w:bookmarkEnd w:id="5"/>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amkpd264iisk" w:id="6"/>
      <w:bookmarkEnd w:id="6"/>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understanding the nature of gravitational waves through simulation and analysis. My previous experience developing numerical models for constraining galaxy evolution would translate seamlessly to astrophysical simulations and analyses that can provide scientific insight using current gravitational-wave observations and inform instrumentation decisions for the next generation of gravitational-wave detectors. Additionally, I am interested in experimental and observational cosmology. My previous experience with AIT at MIT has given me transferrable instrumentation and engineering skills for use in direct dark matter search experiments and instrumentation development for CMB studies. I am broadly interested in gravitational-wave physics and cosmology but am particularly interested in the research of Prof. Mandic, Prof. Cushman, Prof. Hanany, Prof. Coughlin, and Prof. Williams.</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bookmarkStart w:colFirst="0" w:colLast="0" w:name="_qw7be8av89y" w:id="7"/>
      <w:bookmarkEnd w:id="7"/>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Minnesota.</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highlight w:val="cyan"/>
        </w:rPr>
      </w:pPr>
      <w:bookmarkStart w:colFirst="0" w:colLast="0" w:name="_z9kur12n6nuh" w:id="8"/>
      <w:bookmarkEnd w:id="8"/>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