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Syracuse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cosmology projects. I am very interested in the development of the next generation of gravitational wave detectors with aLIGO, Cosmic Explorer, and LISA.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I am also interested in the interface of theoretical and observational cosmology. My previous experience working with various astrophysical data sets has prepared me to glean new findings from current surveys of the cosmic microwave background and use these analyses to inform the development of future cosmic microwave background studies, particularly CMB-S4. I am broadly interested in gravitational-wave physics and cosmology but am particularly interested in the research of Prof. Ballmer, Prof. Watson, Prof. Brown, and Prof. Coughlin.</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bookmarkStart w:colFirst="0" w:colLast="0" w:name="_qw7be8av89y"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Syracuse.</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highlight w:val="cyan"/>
        </w:rPr>
      </w:pPr>
      <w:bookmarkStart w:colFirst="0" w:colLast="0" w:name="_z9kur12n6nuh" w:id="9"/>
      <w:bookmarkEnd w:id="9"/>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