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gf903sbxwy8s" w:id="0"/>
      <w:bookmarkEnd w:id="0"/>
      <w:r w:rsidDel="00000000" w:rsidR="00000000" w:rsidRPr="00000000">
        <w:rPr>
          <w:rFonts w:ascii="Times New Roman" w:cs="Times New Roman" w:eastAsia="Times New Roman" w:hAnsi="Times New Roman"/>
          <w:sz w:val="24"/>
          <w:szCs w:val="24"/>
          <w:rtl w:val="0"/>
        </w:rPr>
        <w:t xml:space="preserve">Earning my Ph.D. at the University of Washington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bookmarkStart w:colFirst="0" w:colLast="0" w:name="_b7xky2f4ts4t" w:id="1"/>
      <w:bookmarkEnd w:id="1"/>
      <w:r w:rsidDel="00000000" w:rsidR="00000000" w:rsidRPr="00000000">
        <w:rPr>
          <w:rFonts w:ascii="Times New Roman" w:cs="Times New Roman" w:eastAsia="Times New Roman" w:hAnsi="Times New Roman"/>
          <w:sz w:val="24"/>
          <w:szCs w:val="24"/>
          <w:rtl w:val="0"/>
        </w:rPr>
        <w:t xml:space="preserve">My most impactful work began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sz w:val="24"/>
          <w:szCs w:val="24"/>
          <w:rtl w:val="0"/>
        </w:rPr>
        <w:t xml:space="preserve">Prof. 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2udjz3dq55q4" w:id="2"/>
      <w:bookmarkEnd w:id="2"/>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In response, I built a robust and flexible data pipeline that accurately represented all solar observations. This pipeline enabled a detailed analysis of several solar events in the second half of 2021 and served as supporting evidence in several forthcoming publications that describe the project scope.</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pahzc3w2v8yt" w:id="3"/>
      <w:bookmarkEnd w:id="3"/>
      <w:r w:rsidDel="00000000" w:rsidR="00000000" w:rsidRPr="00000000">
        <w:rPr>
          <w:rFonts w:ascii="Times New Roman" w:cs="Times New Roman" w:eastAsia="Times New Roman" w:hAnsi="Times New Roman"/>
          <w:sz w:val="24"/>
          <w:szCs w:val="24"/>
          <w:rtl w:val="0"/>
        </w:rPr>
        <w:t xml:space="preserve">I am very interested in studying the nature of gravity. My previous work with AIT at MIT has given me transferable engineering skills to immediately contribute to current research in the Eöt-Wash group. I am also very interested in experimental and observational cosmology. My experience with AIT at MIT has prepared me to instantly support direct dark matter search projects like ADMX and DAMIC.  Furthermore, my previous work with large astrophysical data sets has prepared me to further the current understanding of the nature of dark energy and dark matter through the analysis of cosmological observations. I am broadly interested in gravitational physics and cosmology but am particularly interested in the research of Prof. Gundlach, Prof. Loverde, Prof. Morales, Prof. Rybka, and Prof. Chavarria.</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highlight w:val="cyan"/>
        </w:rPr>
      </w:pPr>
      <w:bookmarkStart w:colFirst="0" w:colLast="0" w:name="_qw7be8av89y" w:id="4"/>
      <w:bookmarkEnd w:id="4"/>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the University of Washington.</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