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93125" w14:textId="22BDF380" w:rsidR="00991C22" w:rsidRDefault="00D22445">
      <w:pPr>
        <w:rPr>
          <w:b/>
          <w:bCs/>
          <w:sz w:val="28"/>
          <w:szCs w:val="28"/>
        </w:rPr>
      </w:pPr>
      <w:r w:rsidRPr="00D22445">
        <w:rPr>
          <w:b/>
          <w:bCs/>
          <w:sz w:val="28"/>
          <w:szCs w:val="28"/>
        </w:rPr>
        <w:t>VDJ:</w:t>
      </w:r>
      <w:r w:rsidR="00991C22">
        <w:rPr>
          <w:b/>
          <w:bCs/>
          <w:sz w:val="28"/>
          <w:szCs w:val="28"/>
        </w:rPr>
        <w:t xml:space="preserve"> </w:t>
      </w:r>
      <w:r w:rsidR="0045680D">
        <w:rPr>
          <w:b/>
          <w:bCs/>
          <w:sz w:val="28"/>
          <w:szCs w:val="28"/>
        </w:rPr>
        <w:t>V</w:t>
      </w:r>
      <w:r w:rsidRPr="00D22445">
        <w:rPr>
          <w:b/>
          <w:bCs/>
          <w:sz w:val="28"/>
          <w:szCs w:val="28"/>
        </w:rPr>
        <w:t xml:space="preserve">isualization </w:t>
      </w:r>
      <w:proofErr w:type="gramStart"/>
      <w:r w:rsidRPr="00D22445">
        <w:rPr>
          <w:b/>
          <w:bCs/>
          <w:sz w:val="28"/>
          <w:szCs w:val="28"/>
        </w:rPr>
        <w:t>for</w:t>
      </w:r>
      <w:proofErr w:type="gramEnd"/>
      <w:r w:rsidRPr="00D22445">
        <w:rPr>
          <w:b/>
          <w:bCs/>
          <w:sz w:val="28"/>
          <w:szCs w:val="28"/>
        </w:rPr>
        <w:t xml:space="preserve"> </w:t>
      </w:r>
      <w:r w:rsidR="007679C7">
        <w:rPr>
          <w:b/>
          <w:bCs/>
          <w:sz w:val="28"/>
          <w:szCs w:val="28"/>
        </w:rPr>
        <w:t>T- and B-cell</w:t>
      </w:r>
      <w:r w:rsidRPr="00D22445">
        <w:rPr>
          <w:b/>
          <w:bCs/>
          <w:sz w:val="28"/>
          <w:szCs w:val="28"/>
        </w:rPr>
        <w:t xml:space="preserve"> repertoire</w:t>
      </w:r>
      <w:r w:rsidR="00991C22">
        <w:rPr>
          <w:b/>
          <w:bCs/>
          <w:sz w:val="28"/>
          <w:szCs w:val="28"/>
        </w:rPr>
        <w:t>s</w:t>
      </w:r>
    </w:p>
    <w:p w14:paraId="60BE4F17" w14:textId="022FB28A" w:rsidR="0002228B" w:rsidRDefault="005D5E5A">
      <w:r>
        <w:t xml:space="preserve">This </w:t>
      </w:r>
      <w:r w:rsidR="00DB30AE">
        <w:t>g</w:t>
      </w:r>
      <w:r>
        <w:t xml:space="preserve">uide describes </w:t>
      </w:r>
      <w:r w:rsidR="00F62107">
        <w:t xml:space="preserve">VDJ, </w:t>
      </w:r>
      <w:r w:rsidR="00E90DFA">
        <w:t>a web-based</w:t>
      </w:r>
      <w:r>
        <w:t xml:space="preserve"> tool for </w:t>
      </w:r>
      <w:r w:rsidR="00620B12">
        <w:t>visualizing and interpreting</w:t>
      </w:r>
      <w:r>
        <w:t xml:space="preserve"> </w:t>
      </w:r>
      <w:r w:rsidR="007679C7">
        <w:t xml:space="preserve">the results of </w:t>
      </w:r>
      <w:proofErr w:type="spellStart"/>
      <w:r w:rsidR="007679C7">
        <w:t>immunosequencing</w:t>
      </w:r>
      <w:proofErr w:type="spellEnd"/>
      <w:r w:rsidR="00F62107">
        <w:t xml:space="preserve"> </w:t>
      </w:r>
      <w:r w:rsidR="007679C7">
        <w:t>assays</w:t>
      </w:r>
      <w:r w:rsidR="0002228B">
        <w:t xml:space="preserve"> </w:t>
      </w:r>
      <w:r w:rsidR="00641089">
        <w:t xml:space="preserve">marketed by </w:t>
      </w:r>
      <w:hyperlink r:id="rId5" w:history="1">
        <w:r w:rsidR="00641089" w:rsidRPr="00056B87">
          <w:rPr>
            <w:rStyle w:val="Hyperlink"/>
          </w:rPr>
          <w:t>Adaptive Biotechnologies</w:t>
        </w:r>
      </w:hyperlink>
      <w:r w:rsidR="00CB0D47">
        <w:t>.</w:t>
      </w:r>
    </w:p>
    <w:p w14:paraId="011279F0" w14:textId="5A1AEE80" w:rsidR="00621362" w:rsidRDefault="00621362">
      <w:r>
        <w:t xml:space="preserve">Adaptive </w:t>
      </w:r>
      <w:r w:rsidR="006432DA">
        <w:t>offers</w:t>
      </w:r>
      <w:r>
        <w:t xml:space="preserve"> a hosted version of the tool </w:t>
      </w:r>
      <w:r w:rsidR="00AD3D48">
        <w:t>to its</w:t>
      </w:r>
      <w:r>
        <w:t xml:space="preserve"> customers at </w:t>
      </w:r>
      <w:hyperlink r:id="rId6" w:history="1">
        <w:r w:rsidRPr="002B7813">
          <w:rPr>
            <w:rStyle w:val="Hyperlink"/>
          </w:rPr>
          <w:t>https://vdjtool.azurewebsites.net</w:t>
        </w:r>
      </w:hyperlink>
      <w:r>
        <w:t xml:space="preserve">. </w:t>
      </w:r>
      <w:r w:rsidR="00BA7F27">
        <w:t xml:space="preserve">The code for VDJ is </w:t>
      </w:r>
      <w:proofErr w:type="gramStart"/>
      <w:r w:rsidR="006432DA">
        <w:t>open-source</w:t>
      </w:r>
      <w:proofErr w:type="gramEnd"/>
      <w:r w:rsidR="006432DA">
        <w:t xml:space="preserve">, </w:t>
      </w:r>
      <w:hyperlink r:id="rId7" w:history="1">
        <w:r w:rsidR="00BA7F27" w:rsidRPr="004A7FD1">
          <w:rPr>
            <w:rStyle w:val="Hyperlink"/>
          </w:rPr>
          <w:t xml:space="preserve">available </w:t>
        </w:r>
        <w:r w:rsidR="00E90DFA" w:rsidRPr="004A7FD1">
          <w:rPr>
            <w:rStyle w:val="Hyperlink"/>
          </w:rPr>
          <w:t xml:space="preserve">on </w:t>
        </w:r>
        <w:r w:rsidR="004A7FD1" w:rsidRPr="004A7FD1">
          <w:rPr>
            <w:rStyle w:val="Hyperlink"/>
          </w:rPr>
          <w:t>GitHub</w:t>
        </w:r>
        <w:r w:rsidR="006432DA" w:rsidRPr="004A7FD1">
          <w:rPr>
            <w:rStyle w:val="Hyperlink"/>
          </w:rPr>
          <w:t xml:space="preserve"> </w:t>
        </w:r>
        <w:r w:rsidR="00BA7F27" w:rsidRPr="004A7FD1">
          <w:rPr>
            <w:rStyle w:val="Hyperlink"/>
          </w:rPr>
          <w:t>under MIT license</w:t>
        </w:r>
      </w:hyperlink>
      <w:r w:rsidR="00BA7F27">
        <w:t xml:space="preserve">. </w:t>
      </w:r>
      <w:r>
        <w:t xml:space="preserve">Details on modifying, building and hosting the application </w:t>
      </w:r>
      <w:r w:rsidR="00BA7F27">
        <w:t xml:space="preserve">are available in the </w:t>
      </w:r>
      <w:r w:rsidR="0076585A">
        <w:t xml:space="preserve">GitHub </w:t>
      </w:r>
      <w:r w:rsidR="0028793D">
        <w:t>repository</w:t>
      </w:r>
      <w:r w:rsidR="00BA7F27">
        <w:t>.</w:t>
      </w:r>
    </w:p>
    <w:p w14:paraId="41F3C297" w14:textId="614F2A7B" w:rsidR="00283A99" w:rsidRDefault="0092013F" w:rsidP="006432DA">
      <w:r w:rsidRPr="00282151">
        <w:rPr>
          <w:i/>
          <w:iCs/>
        </w:rPr>
        <w:t>N</w:t>
      </w:r>
      <w:r w:rsidR="006432DA" w:rsidRPr="00282151">
        <w:rPr>
          <w:i/>
          <w:iCs/>
        </w:rPr>
        <w:t xml:space="preserve">ote: while the tool currently supports only files generated by Adaptive Biotechnologies, it could trivially be updated to support alternative formats such as </w:t>
      </w:r>
      <w:hyperlink r:id="rId8" w:history="1">
        <w:proofErr w:type="spellStart"/>
        <w:r w:rsidR="006432DA" w:rsidRPr="00282151">
          <w:rPr>
            <w:rStyle w:val="Hyperlink"/>
            <w:i/>
            <w:iCs/>
          </w:rPr>
          <w:t>iRepretoire’s</w:t>
        </w:r>
        <w:proofErr w:type="spellEnd"/>
        <w:r w:rsidR="006432DA" w:rsidRPr="00282151">
          <w:rPr>
            <w:rStyle w:val="Hyperlink"/>
            <w:i/>
            <w:iCs/>
          </w:rPr>
          <w:t xml:space="preserve"> pep.csv</w:t>
        </w:r>
      </w:hyperlink>
      <w:r w:rsidR="006432DA">
        <w:t>.</w:t>
      </w:r>
    </w:p>
    <w:sdt>
      <w:sdtPr>
        <w:rPr>
          <w:rFonts w:asciiTheme="minorHAnsi" w:eastAsiaTheme="minorHAnsi" w:hAnsiTheme="minorHAnsi" w:cstheme="minorBidi"/>
          <w:color w:val="auto"/>
          <w:kern w:val="2"/>
          <w:sz w:val="22"/>
          <w:szCs w:val="22"/>
          <w14:ligatures w14:val="standardContextual"/>
        </w:rPr>
        <w:id w:val="-765078712"/>
        <w:docPartObj>
          <w:docPartGallery w:val="Table of Contents"/>
          <w:docPartUnique/>
        </w:docPartObj>
      </w:sdtPr>
      <w:sdtEndPr>
        <w:rPr>
          <w:b/>
          <w:bCs/>
          <w:noProof/>
        </w:rPr>
      </w:sdtEndPr>
      <w:sdtContent>
        <w:p w14:paraId="7414DBD0" w14:textId="1A3B1F79" w:rsidR="008C2D1A" w:rsidRDefault="008C2D1A">
          <w:pPr>
            <w:pStyle w:val="TOCHeading"/>
          </w:pPr>
          <w:r>
            <w:t>Contents</w:t>
          </w:r>
        </w:p>
        <w:p w14:paraId="794EA481" w14:textId="1441CAB4" w:rsidR="00AE68A0" w:rsidRDefault="008C2D1A">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0515919" w:history="1">
            <w:r w:rsidR="00AE68A0" w:rsidRPr="00824EB6">
              <w:rPr>
                <w:rStyle w:val="Hyperlink"/>
                <w:noProof/>
              </w:rPr>
              <w:t>Login and Credentials</w:t>
            </w:r>
            <w:r w:rsidR="00AE68A0">
              <w:rPr>
                <w:noProof/>
                <w:webHidden/>
              </w:rPr>
              <w:tab/>
            </w:r>
            <w:r w:rsidR="00AE68A0">
              <w:rPr>
                <w:noProof/>
                <w:webHidden/>
              </w:rPr>
              <w:fldChar w:fldCharType="begin"/>
            </w:r>
            <w:r w:rsidR="00AE68A0">
              <w:rPr>
                <w:noProof/>
                <w:webHidden/>
              </w:rPr>
              <w:instrText xml:space="preserve"> PAGEREF _Toc180515919 \h </w:instrText>
            </w:r>
            <w:r w:rsidR="00AE68A0">
              <w:rPr>
                <w:noProof/>
                <w:webHidden/>
              </w:rPr>
            </w:r>
            <w:r w:rsidR="00AE68A0">
              <w:rPr>
                <w:noProof/>
                <w:webHidden/>
              </w:rPr>
              <w:fldChar w:fldCharType="separate"/>
            </w:r>
            <w:r w:rsidR="00AE68A0">
              <w:rPr>
                <w:noProof/>
                <w:webHidden/>
              </w:rPr>
              <w:t>1</w:t>
            </w:r>
            <w:r w:rsidR="00AE68A0">
              <w:rPr>
                <w:noProof/>
                <w:webHidden/>
              </w:rPr>
              <w:fldChar w:fldCharType="end"/>
            </w:r>
          </w:hyperlink>
        </w:p>
        <w:p w14:paraId="5909DC7A" w14:textId="3CB51961" w:rsidR="00AE68A0" w:rsidRDefault="00AE68A0">
          <w:pPr>
            <w:pStyle w:val="TOC2"/>
            <w:tabs>
              <w:tab w:val="right" w:leader="dot" w:pos="9350"/>
            </w:tabs>
            <w:rPr>
              <w:rFonts w:eastAsiaTheme="minorEastAsia"/>
              <w:noProof/>
              <w:sz w:val="24"/>
              <w:szCs w:val="24"/>
            </w:rPr>
          </w:pPr>
          <w:hyperlink w:anchor="_Toc180515920" w:history="1">
            <w:r w:rsidRPr="00824EB6">
              <w:rPr>
                <w:rStyle w:val="Hyperlink"/>
                <w:noProof/>
              </w:rPr>
              <w:t>Overview and Navigation</w:t>
            </w:r>
            <w:r>
              <w:rPr>
                <w:noProof/>
                <w:webHidden/>
              </w:rPr>
              <w:tab/>
            </w:r>
            <w:r>
              <w:rPr>
                <w:noProof/>
                <w:webHidden/>
              </w:rPr>
              <w:fldChar w:fldCharType="begin"/>
            </w:r>
            <w:r>
              <w:rPr>
                <w:noProof/>
                <w:webHidden/>
              </w:rPr>
              <w:instrText xml:space="preserve"> PAGEREF _Toc180515920 \h </w:instrText>
            </w:r>
            <w:r>
              <w:rPr>
                <w:noProof/>
                <w:webHidden/>
              </w:rPr>
            </w:r>
            <w:r>
              <w:rPr>
                <w:noProof/>
                <w:webHidden/>
              </w:rPr>
              <w:fldChar w:fldCharType="separate"/>
            </w:r>
            <w:r>
              <w:rPr>
                <w:noProof/>
                <w:webHidden/>
              </w:rPr>
              <w:t>2</w:t>
            </w:r>
            <w:r>
              <w:rPr>
                <w:noProof/>
                <w:webHidden/>
              </w:rPr>
              <w:fldChar w:fldCharType="end"/>
            </w:r>
          </w:hyperlink>
        </w:p>
        <w:p w14:paraId="6A5C18A6" w14:textId="2B85268C" w:rsidR="00AE68A0" w:rsidRDefault="00AE68A0">
          <w:pPr>
            <w:pStyle w:val="TOC2"/>
            <w:tabs>
              <w:tab w:val="right" w:leader="dot" w:pos="9350"/>
            </w:tabs>
            <w:rPr>
              <w:rFonts w:eastAsiaTheme="minorEastAsia"/>
              <w:noProof/>
              <w:sz w:val="24"/>
              <w:szCs w:val="24"/>
            </w:rPr>
          </w:pPr>
          <w:hyperlink w:anchor="_Toc180515921" w:history="1">
            <w:r w:rsidRPr="00824EB6">
              <w:rPr>
                <w:rStyle w:val="Hyperlink"/>
                <w:noProof/>
              </w:rPr>
              <w:t>Managing Repertoires</w:t>
            </w:r>
            <w:r>
              <w:rPr>
                <w:noProof/>
                <w:webHidden/>
              </w:rPr>
              <w:tab/>
            </w:r>
            <w:r>
              <w:rPr>
                <w:noProof/>
                <w:webHidden/>
              </w:rPr>
              <w:fldChar w:fldCharType="begin"/>
            </w:r>
            <w:r>
              <w:rPr>
                <w:noProof/>
                <w:webHidden/>
              </w:rPr>
              <w:instrText xml:space="preserve"> PAGEREF _Toc180515921 \h </w:instrText>
            </w:r>
            <w:r>
              <w:rPr>
                <w:noProof/>
                <w:webHidden/>
              </w:rPr>
            </w:r>
            <w:r>
              <w:rPr>
                <w:noProof/>
                <w:webHidden/>
              </w:rPr>
              <w:fldChar w:fldCharType="separate"/>
            </w:r>
            <w:r>
              <w:rPr>
                <w:noProof/>
                <w:webHidden/>
              </w:rPr>
              <w:t>3</w:t>
            </w:r>
            <w:r>
              <w:rPr>
                <w:noProof/>
                <w:webHidden/>
              </w:rPr>
              <w:fldChar w:fldCharType="end"/>
            </w:r>
          </w:hyperlink>
        </w:p>
        <w:p w14:paraId="6A2A7A75" w14:textId="75E01B34" w:rsidR="00AE68A0" w:rsidRDefault="00AE68A0">
          <w:pPr>
            <w:pStyle w:val="TOC3"/>
            <w:tabs>
              <w:tab w:val="right" w:leader="dot" w:pos="9350"/>
            </w:tabs>
            <w:rPr>
              <w:rFonts w:eastAsiaTheme="minorEastAsia"/>
              <w:noProof/>
              <w:sz w:val="24"/>
              <w:szCs w:val="24"/>
            </w:rPr>
          </w:pPr>
          <w:hyperlink w:anchor="_Toc180515922" w:history="1">
            <w:r w:rsidRPr="00824EB6">
              <w:rPr>
                <w:rStyle w:val="Hyperlink"/>
                <w:noProof/>
              </w:rPr>
              <w:t>Upload</w:t>
            </w:r>
            <w:r>
              <w:rPr>
                <w:noProof/>
                <w:webHidden/>
              </w:rPr>
              <w:tab/>
            </w:r>
            <w:r>
              <w:rPr>
                <w:noProof/>
                <w:webHidden/>
              </w:rPr>
              <w:fldChar w:fldCharType="begin"/>
            </w:r>
            <w:r>
              <w:rPr>
                <w:noProof/>
                <w:webHidden/>
              </w:rPr>
              <w:instrText xml:space="preserve"> PAGEREF _Toc180515922 \h </w:instrText>
            </w:r>
            <w:r>
              <w:rPr>
                <w:noProof/>
                <w:webHidden/>
              </w:rPr>
            </w:r>
            <w:r>
              <w:rPr>
                <w:noProof/>
                <w:webHidden/>
              </w:rPr>
              <w:fldChar w:fldCharType="separate"/>
            </w:r>
            <w:r>
              <w:rPr>
                <w:noProof/>
                <w:webHidden/>
              </w:rPr>
              <w:t>3</w:t>
            </w:r>
            <w:r>
              <w:rPr>
                <w:noProof/>
                <w:webHidden/>
              </w:rPr>
              <w:fldChar w:fldCharType="end"/>
            </w:r>
          </w:hyperlink>
        </w:p>
        <w:p w14:paraId="7AA8D8C1" w14:textId="3B90E083" w:rsidR="00AE68A0" w:rsidRDefault="00AE68A0">
          <w:pPr>
            <w:pStyle w:val="TOC3"/>
            <w:tabs>
              <w:tab w:val="right" w:leader="dot" w:pos="9350"/>
            </w:tabs>
            <w:rPr>
              <w:rFonts w:eastAsiaTheme="minorEastAsia"/>
              <w:noProof/>
              <w:sz w:val="24"/>
              <w:szCs w:val="24"/>
            </w:rPr>
          </w:pPr>
          <w:hyperlink w:anchor="_Toc180515923" w:history="1">
            <w:r w:rsidRPr="00824EB6">
              <w:rPr>
                <w:rStyle w:val="Hyperlink"/>
                <w:noProof/>
              </w:rPr>
              <w:t>Import</w:t>
            </w:r>
            <w:r>
              <w:rPr>
                <w:noProof/>
                <w:webHidden/>
              </w:rPr>
              <w:tab/>
            </w:r>
            <w:r>
              <w:rPr>
                <w:noProof/>
                <w:webHidden/>
              </w:rPr>
              <w:fldChar w:fldCharType="begin"/>
            </w:r>
            <w:r>
              <w:rPr>
                <w:noProof/>
                <w:webHidden/>
              </w:rPr>
              <w:instrText xml:space="preserve"> PAGEREF _Toc180515923 \h </w:instrText>
            </w:r>
            <w:r>
              <w:rPr>
                <w:noProof/>
                <w:webHidden/>
              </w:rPr>
            </w:r>
            <w:r>
              <w:rPr>
                <w:noProof/>
                <w:webHidden/>
              </w:rPr>
              <w:fldChar w:fldCharType="separate"/>
            </w:r>
            <w:r>
              <w:rPr>
                <w:noProof/>
                <w:webHidden/>
              </w:rPr>
              <w:t>4</w:t>
            </w:r>
            <w:r>
              <w:rPr>
                <w:noProof/>
                <w:webHidden/>
              </w:rPr>
              <w:fldChar w:fldCharType="end"/>
            </w:r>
          </w:hyperlink>
        </w:p>
        <w:p w14:paraId="3A9066CA" w14:textId="4F5009E6" w:rsidR="00AE68A0" w:rsidRDefault="00AE68A0">
          <w:pPr>
            <w:pStyle w:val="TOC3"/>
            <w:tabs>
              <w:tab w:val="right" w:leader="dot" w:pos="9350"/>
            </w:tabs>
            <w:rPr>
              <w:rFonts w:eastAsiaTheme="minorEastAsia"/>
              <w:noProof/>
              <w:sz w:val="24"/>
              <w:szCs w:val="24"/>
            </w:rPr>
          </w:pPr>
          <w:hyperlink w:anchor="_Toc180515924" w:history="1">
            <w:r w:rsidRPr="00824EB6">
              <w:rPr>
                <w:rStyle w:val="Hyperlink"/>
                <w:noProof/>
              </w:rPr>
              <w:t>Delete</w:t>
            </w:r>
            <w:r>
              <w:rPr>
                <w:noProof/>
                <w:webHidden/>
              </w:rPr>
              <w:tab/>
            </w:r>
            <w:r>
              <w:rPr>
                <w:noProof/>
                <w:webHidden/>
              </w:rPr>
              <w:fldChar w:fldCharType="begin"/>
            </w:r>
            <w:r>
              <w:rPr>
                <w:noProof/>
                <w:webHidden/>
              </w:rPr>
              <w:instrText xml:space="preserve"> PAGEREF _Toc180515924 \h </w:instrText>
            </w:r>
            <w:r>
              <w:rPr>
                <w:noProof/>
                <w:webHidden/>
              </w:rPr>
            </w:r>
            <w:r>
              <w:rPr>
                <w:noProof/>
                <w:webHidden/>
              </w:rPr>
              <w:fldChar w:fldCharType="separate"/>
            </w:r>
            <w:r>
              <w:rPr>
                <w:noProof/>
                <w:webHidden/>
              </w:rPr>
              <w:t>5</w:t>
            </w:r>
            <w:r>
              <w:rPr>
                <w:noProof/>
                <w:webHidden/>
              </w:rPr>
              <w:fldChar w:fldCharType="end"/>
            </w:r>
          </w:hyperlink>
        </w:p>
        <w:p w14:paraId="50C424D4" w14:textId="76280A69" w:rsidR="00AE68A0" w:rsidRDefault="00AE68A0">
          <w:pPr>
            <w:pStyle w:val="TOC2"/>
            <w:tabs>
              <w:tab w:val="right" w:leader="dot" w:pos="9350"/>
            </w:tabs>
            <w:rPr>
              <w:rFonts w:eastAsiaTheme="minorEastAsia"/>
              <w:noProof/>
              <w:sz w:val="24"/>
              <w:szCs w:val="24"/>
            </w:rPr>
          </w:pPr>
          <w:hyperlink w:anchor="_Toc180515925" w:history="1">
            <w:r w:rsidRPr="00824EB6">
              <w:rPr>
                <w:rStyle w:val="Hyperlink"/>
                <w:noProof/>
              </w:rPr>
              <w:t>Actions</w:t>
            </w:r>
            <w:r>
              <w:rPr>
                <w:noProof/>
                <w:webHidden/>
              </w:rPr>
              <w:tab/>
            </w:r>
            <w:r>
              <w:rPr>
                <w:noProof/>
                <w:webHidden/>
              </w:rPr>
              <w:fldChar w:fldCharType="begin"/>
            </w:r>
            <w:r>
              <w:rPr>
                <w:noProof/>
                <w:webHidden/>
              </w:rPr>
              <w:instrText xml:space="preserve"> PAGEREF _Toc180515925 \h </w:instrText>
            </w:r>
            <w:r>
              <w:rPr>
                <w:noProof/>
                <w:webHidden/>
              </w:rPr>
            </w:r>
            <w:r>
              <w:rPr>
                <w:noProof/>
                <w:webHidden/>
              </w:rPr>
              <w:fldChar w:fldCharType="separate"/>
            </w:r>
            <w:r>
              <w:rPr>
                <w:noProof/>
                <w:webHidden/>
              </w:rPr>
              <w:t>6</w:t>
            </w:r>
            <w:r>
              <w:rPr>
                <w:noProof/>
                <w:webHidden/>
              </w:rPr>
              <w:fldChar w:fldCharType="end"/>
            </w:r>
          </w:hyperlink>
        </w:p>
        <w:p w14:paraId="0FC5C3DE" w14:textId="60A784D2" w:rsidR="00AE68A0" w:rsidRDefault="00AE68A0">
          <w:pPr>
            <w:pStyle w:val="TOC3"/>
            <w:tabs>
              <w:tab w:val="right" w:leader="dot" w:pos="9350"/>
            </w:tabs>
            <w:rPr>
              <w:rFonts w:eastAsiaTheme="minorEastAsia"/>
              <w:noProof/>
              <w:sz w:val="24"/>
              <w:szCs w:val="24"/>
            </w:rPr>
          </w:pPr>
          <w:hyperlink w:anchor="_Toc180515926" w:history="1">
            <w:r w:rsidRPr="00824EB6">
              <w:rPr>
                <w:rStyle w:val="Hyperlink"/>
                <w:noProof/>
              </w:rPr>
              <w:t>Top 100</w:t>
            </w:r>
            <w:r>
              <w:rPr>
                <w:noProof/>
                <w:webHidden/>
              </w:rPr>
              <w:tab/>
            </w:r>
            <w:r>
              <w:rPr>
                <w:noProof/>
                <w:webHidden/>
              </w:rPr>
              <w:fldChar w:fldCharType="begin"/>
            </w:r>
            <w:r>
              <w:rPr>
                <w:noProof/>
                <w:webHidden/>
              </w:rPr>
              <w:instrText xml:space="preserve"> PAGEREF _Toc180515926 \h </w:instrText>
            </w:r>
            <w:r>
              <w:rPr>
                <w:noProof/>
                <w:webHidden/>
              </w:rPr>
            </w:r>
            <w:r>
              <w:rPr>
                <w:noProof/>
                <w:webHidden/>
              </w:rPr>
              <w:fldChar w:fldCharType="separate"/>
            </w:r>
            <w:r>
              <w:rPr>
                <w:noProof/>
                <w:webHidden/>
              </w:rPr>
              <w:t>6</w:t>
            </w:r>
            <w:r>
              <w:rPr>
                <w:noProof/>
                <w:webHidden/>
              </w:rPr>
              <w:fldChar w:fldCharType="end"/>
            </w:r>
          </w:hyperlink>
        </w:p>
        <w:p w14:paraId="30F7CFE0" w14:textId="3FEDE839" w:rsidR="00AE68A0" w:rsidRDefault="00AE68A0">
          <w:pPr>
            <w:pStyle w:val="TOC3"/>
            <w:tabs>
              <w:tab w:val="right" w:leader="dot" w:pos="9350"/>
            </w:tabs>
            <w:rPr>
              <w:rFonts w:eastAsiaTheme="minorEastAsia"/>
              <w:noProof/>
              <w:sz w:val="24"/>
              <w:szCs w:val="24"/>
            </w:rPr>
          </w:pPr>
          <w:hyperlink w:anchor="_Toc180515927" w:history="1">
            <w:r w:rsidRPr="00824EB6">
              <w:rPr>
                <w:rStyle w:val="Hyperlink"/>
                <w:noProof/>
              </w:rPr>
              <w:t>Details</w:t>
            </w:r>
            <w:r>
              <w:rPr>
                <w:noProof/>
                <w:webHidden/>
              </w:rPr>
              <w:tab/>
            </w:r>
            <w:r>
              <w:rPr>
                <w:noProof/>
                <w:webHidden/>
              </w:rPr>
              <w:fldChar w:fldCharType="begin"/>
            </w:r>
            <w:r>
              <w:rPr>
                <w:noProof/>
                <w:webHidden/>
              </w:rPr>
              <w:instrText xml:space="preserve"> PAGEREF _Toc180515927 \h </w:instrText>
            </w:r>
            <w:r>
              <w:rPr>
                <w:noProof/>
                <w:webHidden/>
              </w:rPr>
            </w:r>
            <w:r>
              <w:rPr>
                <w:noProof/>
                <w:webHidden/>
              </w:rPr>
              <w:fldChar w:fldCharType="separate"/>
            </w:r>
            <w:r>
              <w:rPr>
                <w:noProof/>
                <w:webHidden/>
              </w:rPr>
              <w:t>7</w:t>
            </w:r>
            <w:r>
              <w:rPr>
                <w:noProof/>
                <w:webHidden/>
              </w:rPr>
              <w:fldChar w:fldCharType="end"/>
            </w:r>
          </w:hyperlink>
        </w:p>
        <w:p w14:paraId="2DEE8F01" w14:textId="6A81CDDB" w:rsidR="00AE68A0" w:rsidRDefault="00AE68A0">
          <w:pPr>
            <w:pStyle w:val="TOC3"/>
            <w:tabs>
              <w:tab w:val="right" w:leader="dot" w:pos="9350"/>
            </w:tabs>
            <w:rPr>
              <w:rFonts w:eastAsiaTheme="minorEastAsia"/>
              <w:noProof/>
              <w:sz w:val="24"/>
              <w:szCs w:val="24"/>
            </w:rPr>
          </w:pPr>
          <w:hyperlink w:anchor="_Toc180515928" w:history="1">
            <w:r w:rsidRPr="00824EB6">
              <w:rPr>
                <w:rStyle w:val="Hyperlink"/>
                <w:noProof/>
              </w:rPr>
              <w:t>Search</w:t>
            </w:r>
            <w:r>
              <w:rPr>
                <w:noProof/>
                <w:webHidden/>
              </w:rPr>
              <w:tab/>
            </w:r>
            <w:r>
              <w:rPr>
                <w:noProof/>
                <w:webHidden/>
              </w:rPr>
              <w:fldChar w:fldCharType="begin"/>
            </w:r>
            <w:r>
              <w:rPr>
                <w:noProof/>
                <w:webHidden/>
              </w:rPr>
              <w:instrText xml:space="preserve"> PAGEREF _Toc180515928 \h </w:instrText>
            </w:r>
            <w:r>
              <w:rPr>
                <w:noProof/>
                <w:webHidden/>
              </w:rPr>
            </w:r>
            <w:r>
              <w:rPr>
                <w:noProof/>
                <w:webHidden/>
              </w:rPr>
              <w:fldChar w:fldCharType="separate"/>
            </w:r>
            <w:r>
              <w:rPr>
                <w:noProof/>
                <w:webHidden/>
              </w:rPr>
              <w:t>7</w:t>
            </w:r>
            <w:r>
              <w:rPr>
                <w:noProof/>
                <w:webHidden/>
              </w:rPr>
              <w:fldChar w:fldCharType="end"/>
            </w:r>
          </w:hyperlink>
        </w:p>
        <w:p w14:paraId="33F0EFE8" w14:textId="30B5313C" w:rsidR="00AE68A0" w:rsidRDefault="00AE68A0">
          <w:pPr>
            <w:pStyle w:val="TOC3"/>
            <w:tabs>
              <w:tab w:val="right" w:leader="dot" w:pos="9350"/>
            </w:tabs>
            <w:rPr>
              <w:rFonts w:eastAsiaTheme="minorEastAsia"/>
              <w:noProof/>
              <w:sz w:val="24"/>
              <w:szCs w:val="24"/>
            </w:rPr>
          </w:pPr>
          <w:hyperlink w:anchor="_Toc180515929" w:history="1">
            <w:r w:rsidRPr="00824EB6">
              <w:rPr>
                <w:rStyle w:val="Hyperlink"/>
                <w:noProof/>
              </w:rPr>
              <w:t>Overlap</w:t>
            </w:r>
            <w:r>
              <w:rPr>
                <w:noProof/>
                <w:webHidden/>
              </w:rPr>
              <w:tab/>
            </w:r>
            <w:r>
              <w:rPr>
                <w:noProof/>
                <w:webHidden/>
              </w:rPr>
              <w:fldChar w:fldCharType="begin"/>
            </w:r>
            <w:r>
              <w:rPr>
                <w:noProof/>
                <w:webHidden/>
              </w:rPr>
              <w:instrText xml:space="preserve"> PAGEREF _Toc180515929 \h </w:instrText>
            </w:r>
            <w:r>
              <w:rPr>
                <w:noProof/>
                <w:webHidden/>
              </w:rPr>
            </w:r>
            <w:r>
              <w:rPr>
                <w:noProof/>
                <w:webHidden/>
              </w:rPr>
              <w:fldChar w:fldCharType="separate"/>
            </w:r>
            <w:r>
              <w:rPr>
                <w:noProof/>
                <w:webHidden/>
              </w:rPr>
              <w:t>8</w:t>
            </w:r>
            <w:r>
              <w:rPr>
                <w:noProof/>
                <w:webHidden/>
              </w:rPr>
              <w:fldChar w:fldCharType="end"/>
            </w:r>
          </w:hyperlink>
        </w:p>
        <w:p w14:paraId="3D306941" w14:textId="32C24622" w:rsidR="00AE68A0" w:rsidRDefault="00AE68A0">
          <w:pPr>
            <w:pStyle w:val="TOC3"/>
            <w:tabs>
              <w:tab w:val="right" w:leader="dot" w:pos="9350"/>
            </w:tabs>
            <w:rPr>
              <w:rFonts w:eastAsiaTheme="minorEastAsia"/>
              <w:noProof/>
              <w:sz w:val="24"/>
              <w:szCs w:val="24"/>
            </w:rPr>
          </w:pPr>
          <w:hyperlink w:anchor="_Toc180515930" w:history="1">
            <w:r w:rsidRPr="00824EB6">
              <w:rPr>
                <w:rStyle w:val="Hyperlink"/>
                <w:noProof/>
              </w:rPr>
              <w:t>Overlap Scatter Plot</w:t>
            </w:r>
            <w:r>
              <w:rPr>
                <w:noProof/>
                <w:webHidden/>
              </w:rPr>
              <w:tab/>
            </w:r>
            <w:r>
              <w:rPr>
                <w:noProof/>
                <w:webHidden/>
              </w:rPr>
              <w:fldChar w:fldCharType="begin"/>
            </w:r>
            <w:r>
              <w:rPr>
                <w:noProof/>
                <w:webHidden/>
              </w:rPr>
              <w:instrText xml:space="preserve"> PAGEREF _Toc180515930 \h </w:instrText>
            </w:r>
            <w:r>
              <w:rPr>
                <w:noProof/>
                <w:webHidden/>
              </w:rPr>
            </w:r>
            <w:r>
              <w:rPr>
                <w:noProof/>
                <w:webHidden/>
              </w:rPr>
              <w:fldChar w:fldCharType="separate"/>
            </w:r>
            <w:r>
              <w:rPr>
                <w:noProof/>
                <w:webHidden/>
              </w:rPr>
              <w:t>8</w:t>
            </w:r>
            <w:r>
              <w:rPr>
                <w:noProof/>
                <w:webHidden/>
              </w:rPr>
              <w:fldChar w:fldCharType="end"/>
            </w:r>
          </w:hyperlink>
        </w:p>
        <w:p w14:paraId="0542B184" w14:textId="47AF82B4" w:rsidR="00AE68A0" w:rsidRDefault="00AE68A0">
          <w:pPr>
            <w:pStyle w:val="TOC3"/>
            <w:tabs>
              <w:tab w:val="right" w:leader="dot" w:pos="9350"/>
            </w:tabs>
            <w:rPr>
              <w:rFonts w:eastAsiaTheme="minorEastAsia"/>
              <w:noProof/>
              <w:sz w:val="24"/>
              <w:szCs w:val="24"/>
            </w:rPr>
          </w:pPr>
          <w:hyperlink w:anchor="_Toc180515931" w:history="1">
            <w:r w:rsidRPr="00824EB6">
              <w:rPr>
                <w:rStyle w:val="Hyperlink"/>
                <w:noProof/>
              </w:rPr>
              <w:t>Track</w:t>
            </w:r>
            <w:r>
              <w:rPr>
                <w:noProof/>
                <w:webHidden/>
              </w:rPr>
              <w:tab/>
            </w:r>
            <w:r>
              <w:rPr>
                <w:noProof/>
                <w:webHidden/>
              </w:rPr>
              <w:fldChar w:fldCharType="begin"/>
            </w:r>
            <w:r>
              <w:rPr>
                <w:noProof/>
                <w:webHidden/>
              </w:rPr>
              <w:instrText xml:space="preserve"> PAGEREF _Toc180515931 \h </w:instrText>
            </w:r>
            <w:r>
              <w:rPr>
                <w:noProof/>
                <w:webHidden/>
              </w:rPr>
            </w:r>
            <w:r>
              <w:rPr>
                <w:noProof/>
                <w:webHidden/>
              </w:rPr>
              <w:fldChar w:fldCharType="separate"/>
            </w:r>
            <w:r>
              <w:rPr>
                <w:noProof/>
                <w:webHidden/>
              </w:rPr>
              <w:t>9</w:t>
            </w:r>
            <w:r>
              <w:rPr>
                <w:noProof/>
                <w:webHidden/>
              </w:rPr>
              <w:fldChar w:fldCharType="end"/>
            </w:r>
          </w:hyperlink>
        </w:p>
        <w:p w14:paraId="6AA0D2B1" w14:textId="5FD875F0" w:rsidR="00AE68A0" w:rsidRDefault="00AE68A0">
          <w:pPr>
            <w:pStyle w:val="TOC3"/>
            <w:tabs>
              <w:tab w:val="right" w:leader="dot" w:pos="9350"/>
            </w:tabs>
            <w:rPr>
              <w:rFonts w:eastAsiaTheme="minorEastAsia"/>
              <w:noProof/>
              <w:sz w:val="24"/>
              <w:szCs w:val="24"/>
            </w:rPr>
          </w:pPr>
          <w:hyperlink w:anchor="_Toc180515932" w:history="1">
            <w:r w:rsidRPr="00824EB6">
              <w:rPr>
                <w:rStyle w:val="Hyperlink"/>
                <w:noProof/>
              </w:rPr>
              <w:t>Export</w:t>
            </w:r>
            <w:r>
              <w:rPr>
                <w:noProof/>
                <w:webHidden/>
              </w:rPr>
              <w:tab/>
            </w:r>
            <w:r>
              <w:rPr>
                <w:noProof/>
                <w:webHidden/>
              </w:rPr>
              <w:fldChar w:fldCharType="begin"/>
            </w:r>
            <w:r>
              <w:rPr>
                <w:noProof/>
                <w:webHidden/>
              </w:rPr>
              <w:instrText xml:space="preserve"> PAGEREF _Toc180515932 \h </w:instrText>
            </w:r>
            <w:r>
              <w:rPr>
                <w:noProof/>
                <w:webHidden/>
              </w:rPr>
            </w:r>
            <w:r>
              <w:rPr>
                <w:noProof/>
                <w:webHidden/>
              </w:rPr>
              <w:fldChar w:fldCharType="separate"/>
            </w:r>
            <w:r>
              <w:rPr>
                <w:noProof/>
                <w:webHidden/>
              </w:rPr>
              <w:t>11</w:t>
            </w:r>
            <w:r>
              <w:rPr>
                <w:noProof/>
                <w:webHidden/>
              </w:rPr>
              <w:fldChar w:fldCharType="end"/>
            </w:r>
          </w:hyperlink>
        </w:p>
        <w:p w14:paraId="4144A790" w14:textId="36BFC3EB" w:rsidR="002C6078" w:rsidRDefault="008C2D1A" w:rsidP="006432DA">
          <w:r>
            <w:rPr>
              <w:b/>
              <w:bCs/>
              <w:noProof/>
            </w:rPr>
            <w:fldChar w:fldCharType="end"/>
          </w:r>
        </w:p>
      </w:sdtContent>
    </w:sdt>
    <w:p w14:paraId="6BB9BCD3" w14:textId="234A61EC" w:rsidR="0072276C" w:rsidRDefault="0074097E" w:rsidP="0074097E">
      <w:pPr>
        <w:pStyle w:val="Heading2"/>
      </w:pPr>
      <w:bookmarkStart w:id="0" w:name="_Toc180515919"/>
      <w:r>
        <w:t>Login</w:t>
      </w:r>
      <w:r w:rsidR="00BB345D">
        <w:t xml:space="preserve"> and Credentials</w:t>
      </w:r>
      <w:bookmarkEnd w:id="0"/>
    </w:p>
    <w:p w14:paraId="7C51DC64" w14:textId="6BF4004D" w:rsidR="00D4487B" w:rsidRDefault="00A340C0" w:rsidP="00BB345D">
      <w:r>
        <w:t xml:space="preserve">You’ll be asked to log in before using any VDJ functionality. </w:t>
      </w:r>
      <w:r w:rsidR="00BB345D">
        <w:t xml:space="preserve">If you are using the Adaptive-hosted version of the tool, </w:t>
      </w:r>
      <w:r w:rsidR="003C6E31">
        <w:t>use</w:t>
      </w:r>
      <w:r w:rsidR="00BB345D">
        <w:t xml:space="preserve"> the “</w:t>
      </w:r>
      <w:hyperlink r:id="rId9" w:history="1">
        <w:r w:rsidR="00BB345D" w:rsidRPr="00687D6B">
          <w:rPr>
            <w:rStyle w:val="Hyperlink"/>
          </w:rPr>
          <w:t>Agate</w:t>
        </w:r>
      </w:hyperlink>
      <w:r w:rsidR="00BB345D">
        <w:t xml:space="preserve">” credentials you received from Adaptive. </w:t>
      </w:r>
      <w:r w:rsidR="00CD02D5">
        <w:t>Agate uses Microsoft Entra authentication</w:t>
      </w:r>
      <w:r w:rsidR="00D4487B">
        <w:t xml:space="preserve">, so your account name may be your own email or a new one with the domain “adaptiveagate.onmicrosoft.com.” </w:t>
      </w:r>
    </w:p>
    <w:p w14:paraId="18E7BCF0" w14:textId="655CF4A0" w:rsidR="00A340C0" w:rsidRPr="00307786" w:rsidRDefault="00307786" w:rsidP="00BB345D">
      <w:pPr>
        <w:rPr>
          <w:i/>
          <w:iCs/>
        </w:rPr>
      </w:pPr>
      <w:r w:rsidRPr="00307786">
        <w:rPr>
          <w:i/>
          <w:iCs/>
        </w:rPr>
        <w:t xml:space="preserve">Note: </w:t>
      </w:r>
      <w:r w:rsidR="00A340C0" w:rsidRPr="00307786">
        <w:rPr>
          <w:i/>
          <w:iCs/>
        </w:rPr>
        <w:t xml:space="preserve">If you are using another instance of VDJ (self-hosted or otherwise), </w:t>
      </w:r>
      <w:r w:rsidRPr="00307786">
        <w:rPr>
          <w:i/>
          <w:iCs/>
        </w:rPr>
        <w:t>your login may be a simple username and password, a corporate email, or it may defer to another third-party login system like GitHub</w:t>
      </w:r>
      <w:r w:rsidR="00F530A6">
        <w:rPr>
          <w:i/>
          <w:iCs/>
        </w:rPr>
        <w:t xml:space="preserve">, </w:t>
      </w:r>
      <w:r w:rsidRPr="00307786">
        <w:rPr>
          <w:i/>
          <w:iCs/>
        </w:rPr>
        <w:t>depend</w:t>
      </w:r>
      <w:r w:rsidR="00F530A6">
        <w:rPr>
          <w:i/>
          <w:iCs/>
        </w:rPr>
        <w:t>ing</w:t>
      </w:r>
      <w:r w:rsidRPr="00307786">
        <w:rPr>
          <w:i/>
          <w:iCs/>
        </w:rPr>
        <w:t xml:space="preserve"> on how the administrator has configured the version of the application you’re using.</w:t>
      </w:r>
    </w:p>
    <w:p w14:paraId="020CA8F3" w14:textId="2FA8148B" w:rsidR="00307786" w:rsidRDefault="00307786" w:rsidP="00307786">
      <w:pPr>
        <w:pStyle w:val="Heading2"/>
      </w:pPr>
      <w:bookmarkStart w:id="1" w:name="_Toc180515920"/>
      <w:r>
        <w:lastRenderedPageBreak/>
        <w:t>Overview and Navigation</w:t>
      </w:r>
      <w:bookmarkEnd w:id="1"/>
    </w:p>
    <w:p w14:paraId="3A77D55F" w14:textId="3E26B3BE" w:rsidR="00862154" w:rsidRDefault="004C3E68" w:rsidP="00D97A3E">
      <w:r>
        <w:t xml:space="preserve">The main VDJ interface consists of </w:t>
      </w:r>
      <w:r w:rsidR="0067615E">
        <w:t>a left-side navigation/action bar and a right-side content area.</w:t>
      </w:r>
      <w:r w:rsidR="009A7379">
        <w:t xml:space="preserve"> </w:t>
      </w:r>
      <w:r w:rsidR="00E57978">
        <w:t xml:space="preserve">Related “repertoires” (samples) are grouped together into </w:t>
      </w:r>
      <w:r w:rsidR="00DA132C">
        <w:t>“</w:t>
      </w:r>
      <w:r w:rsidR="00E57978">
        <w:t>contexts</w:t>
      </w:r>
      <w:r w:rsidR="00DA132C">
        <w:t xml:space="preserve">” --- a context may represent a patient, a study, or any group of samples that are analyzed together. </w:t>
      </w:r>
    </w:p>
    <w:p w14:paraId="3F6DFBB7" w14:textId="09685130" w:rsidR="009A7379" w:rsidRPr="00862154" w:rsidRDefault="009A7379" w:rsidP="00D97A3E">
      <w:pPr>
        <w:rPr>
          <w:i/>
          <w:iCs/>
        </w:rPr>
      </w:pPr>
      <w:r w:rsidRPr="00862154">
        <w:rPr>
          <w:i/>
          <w:iCs/>
        </w:rPr>
        <w:t xml:space="preserve">Note: by </w:t>
      </w:r>
      <w:proofErr w:type="gramStart"/>
      <w:r w:rsidRPr="00862154">
        <w:rPr>
          <w:i/>
          <w:iCs/>
        </w:rPr>
        <w:t>default</w:t>
      </w:r>
      <w:proofErr w:type="gramEnd"/>
      <w:r w:rsidRPr="00862154">
        <w:rPr>
          <w:i/>
          <w:iCs/>
        </w:rPr>
        <w:t xml:space="preserve"> each user </w:t>
      </w:r>
      <w:r w:rsidR="00862154" w:rsidRPr="00862154">
        <w:rPr>
          <w:i/>
          <w:iCs/>
        </w:rPr>
        <w:t>will see</w:t>
      </w:r>
      <w:r w:rsidRPr="00862154">
        <w:rPr>
          <w:i/>
          <w:iCs/>
        </w:rPr>
        <w:t xml:space="preserve"> their own </w:t>
      </w:r>
      <w:r w:rsidR="00862154" w:rsidRPr="00862154">
        <w:rPr>
          <w:i/>
          <w:iCs/>
        </w:rPr>
        <w:t xml:space="preserve">collection of </w:t>
      </w:r>
      <w:r w:rsidRPr="00862154">
        <w:rPr>
          <w:i/>
          <w:iCs/>
        </w:rPr>
        <w:t xml:space="preserve">contexts and repertoires. If a group of users regularly </w:t>
      </w:r>
      <w:r w:rsidR="00862154" w:rsidRPr="00862154">
        <w:rPr>
          <w:i/>
          <w:iCs/>
        </w:rPr>
        <w:t xml:space="preserve">collaborates on </w:t>
      </w:r>
      <w:r w:rsidRPr="00862154">
        <w:rPr>
          <w:i/>
          <w:iCs/>
        </w:rPr>
        <w:t xml:space="preserve">the same data, </w:t>
      </w:r>
      <w:r w:rsidR="00862154" w:rsidRPr="00862154">
        <w:rPr>
          <w:i/>
          <w:iCs/>
        </w:rPr>
        <w:t>the VDJ</w:t>
      </w:r>
      <w:r w:rsidRPr="00862154">
        <w:rPr>
          <w:i/>
          <w:iCs/>
        </w:rPr>
        <w:t xml:space="preserve"> administrator can assign </w:t>
      </w:r>
      <w:r w:rsidR="00862154" w:rsidRPr="00862154">
        <w:rPr>
          <w:i/>
          <w:iCs/>
        </w:rPr>
        <w:t>those accounts</w:t>
      </w:r>
      <w:r w:rsidRPr="00862154">
        <w:rPr>
          <w:i/>
          <w:iCs/>
        </w:rPr>
        <w:t xml:space="preserve"> to a “group” so that data is share</w:t>
      </w:r>
      <w:r w:rsidR="00862154" w:rsidRPr="00862154">
        <w:rPr>
          <w:i/>
          <w:iCs/>
        </w:rPr>
        <w:t>d</w:t>
      </w:r>
      <w:r w:rsidRPr="00862154">
        <w:rPr>
          <w:i/>
          <w:iCs/>
        </w:rPr>
        <w:t xml:space="preserve">. </w:t>
      </w:r>
    </w:p>
    <w:p w14:paraId="319F5878" w14:textId="575BF069" w:rsidR="00DA132C" w:rsidRPr="00D97A3E" w:rsidRDefault="00044261" w:rsidP="00D97A3E">
      <w:r>
        <w:t>On initial login, no context is “active</w:t>
      </w:r>
      <w:proofErr w:type="gramStart"/>
      <w:r>
        <w:t>”</w:t>
      </w:r>
      <w:proofErr w:type="gramEnd"/>
      <w:r>
        <w:t xml:space="preserve"> and the screen will appear like this:</w:t>
      </w:r>
    </w:p>
    <w:p w14:paraId="05196982" w14:textId="074C79FE" w:rsidR="00D97A3E" w:rsidRPr="00D97A3E" w:rsidRDefault="005D0B5B" w:rsidP="00D97A3E">
      <w:r>
        <w:rPr>
          <w:noProof/>
        </w:rPr>
        <w:drawing>
          <wp:inline distT="0" distB="0" distL="0" distR="0" wp14:anchorId="0EF21633" wp14:editId="46BB452E">
            <wp:extent cx="5725160" cy="3652540"/>
            <wp:effectExtent l="0" t="0" r="8890" b="5080"/>
            <wp:docPr id="435750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48" cy="3659805"/>
                    </a:xfrm>
                    <a:prstGeom prst="rect">
                      <a:avLst/>
                    </a:prstGeom>
                    <a:noFill/>
                  </pic:spPr>
                </pic:pic>
              </a:graphicData>
            </a:graphic>
          </wp:inline>
        </w:drawing>
      </w:r>
    </w:p>
    <w:p w14:paraId="74C676EB" w14:textId="1359A10B" w:rsidR="00307786" w:rsidRDefault="00044261" w:rsidP="00044261">
      <w:pPr>
        <w:pStyle w:val="ListParagraph"/>
        <w:numPr>
          <w:ilvl w:val="0"/>
          <w:numId w:val="1"/>
        </w:numPr>
      </w:pPr>
      <w:r>
        <w:t>Click the context menu to see a list of available contexts and select one to work with. You can also type into this box to search for a context rather than scroll through them all.</w:t>
      </w:r>
    </w:p>
    <w:p w14:paraId="0DAAC76A" w14:textId="7E547442" w:rsidR="00044261" w:rsidRDefault="00044261" w:rsidP="00044261">
      <w:pPr>
        <w:pStyle w:val="ListParagraph"/>
        <w:numPr>
          <w:ilvl w:val="0"/>
          <w:numId w:val="1"/>
        </w:numPr>
      </w:pPr>
      <w:r>
        <w:t xml:space="preserve">The “Upload” and “Import” buttons </w:t>
      </w:r>
      <w:r w:rsidR="00B110AB">
        <w:t>are always available; this is how repertoires are added to your data set and are described in the “</w:t>
      </w:r>
      <w:r w:rsidR="00DE5952">
        <w:t>Managing</w:t>
      </w:r>
      <w:r w:rsidR="00B110AB">
        <w:t xml:space="preserve"> Repertoires” section.</w:t>
      </w:r>
    </w:p>
    <w:p w14:paraId="2BAF1909" w14:textId="3B85EA80" w:rsidR="00B110AB" w:rsidRDefault="00B110AB" w:rsidP="00044261">
      <w:pPr>
        <w:pStyle w:val="ListParagraph"/>
        <w:numPr>
          <w:ilvl w:val="0"/>
          <w:numId w:val="1"/>
        </w:numPr>
      </w:pPr>
      <w:r>
        <w:t xml:space="preserve">The right-hand side of the application starts out empty. This is where content will appear as you begin to work with </w:t>
      </w:r>
      <w:proofErr w:type="gramStart"/>
      <w:r>
        <w:t>repertoires</w:t>
      </w:r>
      <w:proofErr w:type="gramEnd"/>
      <w:r>
        <w:t xml:space="preserve">. </w:t>
      </w:r>
    </w:p>
    <w:p w14:paraId="68B9476B" w14:textId="4D1361EC" w:rsidR="00B110AB" w:rsidRDefault="00B110AB" w:rsidP="00044261">
      <w:pPr>
        <w:pStyle w:val="ListParagraph"/>
        <w:numPr>
          <w:ilvl w:val="0"/>
          <w:numId w:val="1"/>
        </w:numPr>
      </w:pPr>
      <w:r>
        <w:t xml:space="preserve">The </w:t>
      </w:r>
      <w:r w:rsidR="005D0B5B">
        <w:t>“</w:t>
      </w:r>
      <w:r>
        <w:t>logout</w:t>
      </w:r>
      <w:r w:rsidR="005D0B5B">
        <w:t>”</w:t>
      </w:r>
      <w:r>
        <w:t xml:space="preserve"> button terminates your working session</w:t>
      </w:r>
      <w:r w:rsidR="005D0B5B">
        <w:t>; “help” will open the user manual in a new tab.</w:t>
      </w:r>
    </w:p>
    <w:p w14:paraId="0280BB97" w14:textId="327C1114" w:rsidR="00B110AB" w:rsidRDefault="00C93E52" w:rsidP="00B110AB">
      <w:r>
        <w:t xml:space="preserve">Once a context is selected using the dropdown, the repertoires in that context will be shown on the navigation bar and new action buttons will become </w:t>
      </w:r>
      <w:r w:rsidR="00B52163">
        <w:t>available</w:t>
      </w:r>
      <w:r w:rsidR="00FC7579">
        <w:t>:</w:t>
      </w:r>
    </w:p>
    <w:p w14:paraId="7C31341B" w14:textId="77777777" w:rsidR="00C93E52" w:rsidRDefault="00C93E52" w:rsidP="00B110AB"/>
    <w:p w14:paraId="2159D293" w14:textId="10F64822" w:rsidR="00BB345D" w:rsidRPr="00BB345D" w:rsidRDefault="007611CE" w:rsidP="00BB345D">
      <w:r>
        <w:lastRenderedPageBreak/>
        <w:t xml:space="preserve"> </w:t>
      </w:r>
      <w:r w:rsidR="00B52163">
        <w:rPr>
          <w:noProof/>
        </w:rPr>
        <w:drawing>
          <wp:inline distT="0" distB="0" distL="0" distR="0" wp14:anchorId="6AA7D9D9" wp14:editId="3F26F5AD">
            <wp:extent cx="5888990" cy="2990882"/>
            <wp:effectExtent l="0" t="0" r="0" b="0"/>
            <wp:docPr id="1610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019" cy="2996991"/>
                    </a:xfrm>
                    <a:prstGeom prst="rect">
                      <a:avLst/>
                    </a:prstGeom>
                    <a:noFill/>
                  </pic:spPr>
                </pic:pic>
              </a:graphicData>
            </a:graphic>
          </wp:inline>
        </w:drawing>
      </w:r>
    </w:p>
    <w:p w14:paraId="3F404141" w14:textId="3580E9E7" w:rsidR="0074097E" w:rsidRDefault="00B52163" w:rsidP="00B52163">
      <w:pPr>
        <w:pStyle w:val="ListParagraph"/>
        <w:numPr>
          <w:ilvl w:val="0"/>
          <w:numId w:val="2"/>
        </w:numPr>
      </w:pPr>
      <w:r>
        <w:t>The repertoires in the context are shown in a lis</w:t>
      </w:r>
      <w:r w:rsidR="00FC7579">
        <w:t>t; use the checkboxes to select/unselect repertoires</w:t>
      </w:r>
      <w:r>
        <w:t>.</w:t>
      </w:r>
      <w:r w:rsidR="009500BA">
        <w:t xml:space="preserve"> Click on any repertoire and hit “control-a” to select all.</w:t>
      </w:r>
    </w:p>
    <w:p w14:paraId="3D3541B8" w14:textId="4DF91E4F" w:rsidR="00B52163" w:rsidRDefault="00FC7579" w:rsidP="00B52163">
      <w:pPr>
        <w:pStyle w:val="ListParagraph"/>
        <w:numPr>
          <w:ilvl w:val="0"/>
          <w:numId w:val="2"/>
        </w:numPr>
      </w:pPr>
      <w:r>
        <w:t xml:space="preserve">Buttons perform actions on the selected repertoires. They will be enabled/disabled based on the current selection --- e.g., “Top 100” can only be used </w:t>
      </w:r>
      <w:r w:rsidR="005163D4">
        <w:t xml:space="preserve">when exactly one repertoire is selected, and “Overlap” requires at least two. </w:t>
      </w:r>
    </w:p>
    <w:p w14:paraId="282F8646" w14:textId="20E94306" w:rsidR="005163D4" w:rsidRDefault="005163D4" w:rsidP="00EC1A9A">
      <w:pPr>
        <w:pStyle w:val="ListParagraph"/>
        <w:numPr>
          <w:ilvl w:val="0"/>
          <w:numId w:val="2"/>
        </w:numPr>
      </w:pPr>
      <w:r>
        <w:t>Actions open their results on the right side of the screen. Multiple result panes can be open at once; the “tabs” at the top can be used to switch between them. Use the “X” icon to close a tab when finished with it.</w:t>
      </w:r>
      <w:r w:rsidR="00DE5952">
        <w:t xml:space="preserve"> W</w:t>
      </w:r>
      <w:r>
        <w:t xml:space="preserve">hen a new context is selected using the dropdown, </w:t>
      </w:r>
      <w:r w:rsidR="00DE5952">
        <w:t>all content tabs are cleared.</w:t>
      </w:r>
    </w:p>
    <w:p w14:paraId="01A50976" w14:textId="77A8EBEA" w:rsidR="00DE5952" w:rsidRDefault="00DE5952" w:rsidP="00DE5952">
      <w:pPr>
        <w:pStyle w:val="Heading2"/>
      </w:pPr>
      <w:bookmarkStart w:id="2" w:name="_Toc180515921"/>
      <w:r>
        <w:t>Managing Repertoires</w:t>
      </w:r>
      <w:bookmarkEnd w:id="2"/>
    </w:p>
    <w:p w14:paraId="1BC63E3A" w14:textId="52FDE228" w:rsidR="00DE5952" w:rsidRDefault="00E747E2" w:rsidP="00DE5952">
      <w:r>
        <w:t xml:space="preserve">Repertoires are added to </w:t>
      </w:r>
      <w:r w:rsidR="002A2C80">
        <w:t>each context</w:t>
      </w:r>
      <w:r>
        <w:t xml:space="preserve"> either by uploading them from an Adaptive “TSV” file or importing </w:t>
      </w:r>
      <w:r w:rsidR="00E62D38">
        <w:t xml:space="preserve">them directly from Agate. </w:t>
      </w:r>
    </w:p>
    <w:p w14:paraId="329D5CB5" w14:textId="7FBC3D4B" w:rsidR="003D3646" w:rsidRDefault="003D3646" w:rsidP="00573B62">
      <w:pPr>
        <w:pStyle w:val="Heading3"/>
      </w:pPr>
      <w:bookmarkStart w:id="3" w:name="_Toc180515922"/>
      <w:r>
        <w:t>Upload</w:t>
      </w:r>
      <w:bookmarkEnd w:id="3"/>
    </w:p>
    <w:p w14:paraId="516AAB8F" w14:textId="1D840311" w:rsidR="00573B62" w:rsidRDefault="006C63F0" w:rsidP="00573B62">
      <w:r>
        <w:t xml:space="preserve">Adaptive “TSV” files can be exported from the </w:t>
      </w:r>
      <w:hyperlink r:id="rId12" w:history="1">
        <w:proofErr w:type="spellStart"/>
        <w:r w:rsidRPr="0056623A">
          <w:rPr>
            <w:rStyle w:val="Hyperlink"/>
          </w:rPr>
          <w:t>immunoSEQ</w:t>
        </w:r>
        <w:proofErr w:type="spellEnd"/>
        <w:r w:rsidRPr="0056623A">
          <w:rPr>
            <w:rStyle w:val="Hyperlink"/>
          </w:rPr>
          <w:t xml:space="preserve"> Analyzer</w:t>
        </w:r>
      </w:hyperlink>
      <w:r>
        <w:t xml:space="preserve">, or you may receive copies from the client services team. </w:t>
      </w:r>
      <w:r w:rsidR="002C18C9">
        <w:t xml:space="preserve">Each TSV represents a single repertoire </w:t>
      </w:r>
      <w:r w:rsidR="00082E9F">
        <w:t xml:space="preserve">from a particular assay (e.g., B-Cell or TCRB) </w:t>
      </w:r>
      <w:r w:rsidR="002C18C9">
        <w:t xml:space="preserve">and can be added to a context using the “Upload” button. </w:t>
      </w:r>
    </w:p>
    <w:p w14:paraId="059082A9" w14:textId="2749A3A9" w:rsidR="002C18C9" w:rsidRDefault="001D05B0" w:rsidP="00573B62">
      <w:r>
        <w:rPr>
          <w:noProof/>
        </w:rPr>
        <w:lastRenderedPageBreak/>
        <w:drawing>
          <wp:inline distT="0" distB="0" distL="0" distR="0" wp14:anchorId="364D78F4" wp14:editId="715616B9">
            <wp:extent cx="5912640" cy="3377868"/>
            <wp:effectExtent l="0" t="0" r="0" b="0"/>
            <wp:docPr id="5040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512" cy="3401218"/>
                    </a:xfrm>
                    <a:prstGeom prst="rect">
                      <a:avLst/>
                    </a:prstGeom>
                    <a:noFill/>
                  </pic:spPr>
                </pic:pic>
              </a:graphicData>
            </a:graphic>
          </wp:inline>
        </w:drawing>
      </w:r>
    </w:p>
    <w:p w14:paraId="1F461165" w14:textId="14BAA9AF" w:rsidR="0025178B" w:rsidRDefault="008A69A7" w:rsidP="0025178B">
      <w:pPr>
        <w:pStyle w:val="ListParagraph"/>
        <w:numPr>
          <w:ilvl w:val="0"/>
          <w:numId w:val="3"/>
        </w:numPr>
      </w:pPr>
      <w:r>
        <w:t xml:space="preserve">Enter the context in which the repertoire should be saved. This context does not have </w:t>
      </w:r>
      <w:proofErr w:type="gramStart"/>
      <w:r>
        <w:t>to already</w:t>
      </w:r>
      <w:proofErr w:type="gramEnd"/>
      <w:r>
        <w:t xml:space="preserve"> exist; new ones will be created automatically.</w:t>
      </w:r>
    </w:p>
    <w:p w14:paraId="6F15C777" w14:textId="77BD2B0F" w:rsidR="008A69A7" w:rsidRDefault="008A69A7" w:rsidP="0025178B">
      <w:pPr>
        <w:pStyle w:val="ListParagraph"/>
        <w:numPr>
          <w:ilvl w:val="0"/>
          <w:numId w:val="3"/>
        </w:numPr>
      </w:pPr>
      <w:r>
        <w:t xml:space="preserve">Choose a TSV file on your local machine to upload. These files may end in </w:t>
      </w:r>
      <w:proofErr w:type="gramStart"/>
      <w:r>
        <w:t>“.</w:t>
      </w:r>
      <w:proofErr w:type="spellStart"/>
      <w:r>
        <w:t>tsv</w:t>
      </w:r>
      <w:proofErr w:type="spellEnd"/>
      <w:proofErr w:type="gramEnd"/>
      <w:r>
        <w:t>” or they may be compressed (“.tsv.gz” or “.tsv.zip”). Using a compressed file is recommended; doing so can dramatically reduce upload time.</w:t>
      </w:r>
      <w:r w:rsidR="001D05B0">
        <w:t xml:space="preserve"> Choosing a file </w:t>
      </w:r>
      <w:proofErr w:type="gramStart"/>
      <w:r w:rsidR="001D05B0">
        <w:t>fills</w:t>
      </w:r>
      <w:proofErr w:type="gramEnd"/>
      <w:r w:rsidR="001D05B0">
        <w:t xml:space="preserve"> in the “Repertoire Name” field but you may update it if desired.</w:t>
      </w:r>
    </w:p>
    <w:p w14:paraId="73A8C5EA" w14:textId="242B2F2C" w:rsidR="001D05B0" w:rsidRDefault="001D05B0" w:rsidP="0025178B">
      <w:pPr>
        <w:pStyle w:val="ListParagraph"/>
        <w:numPr>
          <w:ilvl w:val="0"/>
          <w:numId w:val="3"/>
        </w:numPr>
      </w:pPr>
      <w:r>
        <w:t xml:space="preserve">Optionally, provide a collection date for the sample. This value is used for display and sorting in some </w:t>
      </w:r>
      <w:proofErr w:type="gramStart"/>
      <w:r>
        <w:t>visualizations, but</w:t>
      </w:r>
      <w:proofErr w:type="gramEnd"/>
      <w:r>
        <w:t xml:space="preserve"> is not required.</w:t>
      </w:r>
    </w:p>
    <w:p w14:paraId="0C508EC7" w14:textId="29041A63" w:rsidR="00687C64" w:rsidRDefault="008A69A7" w:rsidP="00B04234">
      <w:pPr>
        <w:pStyle w:val="ListParagraph"/>
        <w:numPr>
          <w:ilvl w:val="0"/>
          <w:numId w:val="3"/>
        </w:numPr>
      </w:pPr>
      <w:r>
        <w:t xml:space="preserve">Click the “Go” button to start the upload. </w:t>
      </w:r>
      <w:r w:rsidR="00687C64">
        <w:t xml:space="preserve">After the upload is complete, close the tab using the “X” at the top of the content pane. </w:t>
      </w:r>
    </w:p>
    <w:p w14:paraId="2E8DF0D1" w14:textId="1C40CAFB" w:rsidR="00687C64" w:rsidRDefault="00687C64" w:rsidP="00687C64">
      <w:r>
        <w:t xml:space="preserve">If this is the first repertoire in a new context, refresh your browser so it appears in the “context” dropdown. </w:t>
      </w:r>
      <w:r w:rsidR="00106372">
        <w:t xml:space="preserve">If the context already exists, the new repertoire </w:t>
      </w:r>
      <w:r>
        <w:t>will show up automatically.</w:t>
      </w:r>
    </w:p>
    <w:p w14:paraId="5FA8D9D0" w14:textId="5C1B2FC7" w:rsidR="00687C64" w:rsidRDefault="00687C64" w:rsidP="00687C64">
      <w:pPr>
        <w:pStyle w:val="Heading3"/>
      </w:pPr>
      <w:bookmarkStart w:id="4" w:name="_Toc180515923"/>
      <w:r>
        <w:t>Import</w:t>
      </w:r>
      <w:bookmarkEnd w:id="4"/>
    </w:p>
    <w:p w14:paraId="52DCB499" w14:textId="77777777" w:rsidR="00687C64" w:rsidRDefault="00687C64" w:rsidP="00687C64">
      <w:r w:rsidRPr="00F4204D">
        <w:rPr>
          <w:i/>
          <w:iCs/>
        </w:rPr>
        <w:t>Note: If you are not using the Adaptive-hosted version of the tool, Agate import may or may not be available. If it is, you will be prompted to enter your Agate credentials</w:t>
      </w:r>
      <w:r>
        <w:rPr>
          <w:i/>
          <w:iCs/>
        </w:rPr>
        <w:t>,</w:t>
      </w:r>
      <w:r w:rsidRPr="00F4204D">
        <w:rPr>
          <w:i/>
          <w:iCs/>
        </w:rPr>
        <w:t xml:space="preserve"> which will be different from the login and password used to log into VDJ.</w:t>
      </w:r>
    </w:p>
    <w:p w14:paraId="45671307" w14:textId="480FD905" w:rsidR="00687C64" w:rsidRDefault="00854622" w:rsidP="00687C64">
      <w:r>
        <w:t xml:space="preserve">Adaptive </w:t>
      </w:r>
      <w:r w:rsidR="00375951">
        <w:t xml:space="preserve">stores customer data in a cloud-based system called “Agate.” Repertoires stored in Agate can be directly imported into </w:t>
      </w:r>
      <w:r w:rsidR="00CF46EC">
        <w:t>VDJ</w:t>
      </w:r>
      <w:r w:rsidR="002B2EB5">
        <w:t xml:space="preserve">. </w:t>
      </w:r>
      <w:r w:rsidR="00851AE3">
        <w:t>Start an import by clicking the “Import” button and entering a search string. The search is case-insensitive and searches with sample, project and order names. This query can take a bit of time to show results:</w:t>
      </w:r>
    </w:p>
    <w:p w14:paraId="2289F3AC" w14:textId="5FB1F6D6" w:rsidR="00851AE3" w:rsidRDefault="00D14E24" w:rsidP="00687C64">
      <w:r>
        <w:rPr>
          <w:noProof/>
        </w:rPr>
        <w:lastRenderedPageBreak/>
        <w:drawing>
          <wp:inline distT="0" distB="0" distL="0" distR="0" wp14:anchorId="3C0C1FF8" wp14:editId="37D31656">
            <wp:extent cx="5941060" cy="2915747"/>
            <wp:effectExtent l="0" t="0" r="2540" b="0"/>
            <wp:docPr id="18869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020" cy="2922598"/>
                    </a:xfrm>
                    <a:prstGeom prst="rect">
                      <a:avLst/>
                    </a:prstGeom>
                    <a:noFill/>
                  </pic:spPr>
                </pic:pic>
              </a:graphicData>
            </a:graphic>
          </wp:inline>
        </w:drawing>
      </w:r>
    </w:p>
    <w:p w14:paraId="67FC3DD3" w14:textId="0262885E" w:rsidR="00687C64" w:rsidRDefault="00530413" w:rsidP="00530413">
      <w:pPr>
        <w:pStyle w:val="ListParagraph"/>
        <w:numPr>
          <w:ilvl w:val="0"/>
          <w:numId w:val="4"/>
        </w:numPr>
      </w:pPr>
      <w:r>
        <w:t xml:space="preserve">Check the boxes for samples to be imported. To select all listed samples, use the “Select All” button. </w:t>
      </w:r>
    </w:p>
    <w:p w14:paraId="1F49CBF5" w14:textId="69545753" w:rsidR="00530413" w:rsidRDefault="00530413" w:rsidP="00530413">
      <w:pPr>
        <w:pStyle w:val="ListParagraph"/>
        <w:numPr>
          <w:ilvl w:val="0"/>
          <w:numId w:val="4"/>
        </w:numPr>
      </w:pPr>
      <w:r>
        <w:t>Verify the context for samples. VDJ attempts to pick a reasonable context name, but you can use whatever name works best for you.</w:t>
      </w:r>
    </w:p>
    <w:p w14:paraId="1A90D20D" w14:textId="3767211E" w:rsidR="00530413" w:rsidRDefault="00106372" w:rsidP="00530413">
      <w:pPr>
        <w:pStyle w:val="ListParagraph"/>
        <w:numPr>
          <w:ilvl w:val="0"/>
          <w:numId w:val="4"/>
        </w:numPr>
      </w:pPr>
      <w:r>
        <w:t>Click “Import” to start the process</w:t>
      </w:r>
      <w:r w:rsidR="00CD7853">
        <w:t>; the resulting page will show progress.</w:t>
      </w:r>
    </w:p>
    <w:p w14:paraId="6FCAA322" w14:textId="0F8A32A5" w:rsidR="009913DC" w:rsidRPr="00EF2488" w:rsidRDefault="009913DC" w:rsidP="009913DC">
      <w:pPr>
        <w:rPr>
          <w:i/>
          <w:iCs/>
        </w:rPr>
      </w:pPr>
      <w:r w:rsidRPr="00EF2488">
        <w:rPr>
          <w:i/>
          <w:iCs/>
        </w:rPr>
        <w:t xml:space="preserve">Note: If you encounter an error during </w:t>
      </w:r>
      <w:r w:rsidR="00EF2488">
        <w:rPr>
          <w:i/>
          <w:iCs/>
        </w:rPr>
        <w:t>import</w:t>
      </w:r>
      <w:r w:rsidRPr="00EF2488">
        <w:rPr>
          <w:i/>
          <w:iCs/>
        </w:rPr>
        <w:t xml:space="preserve">, </w:t>
      </w:r>
      <w:r w:rsidR="00EF2488" w:rsidRPr="00EF2488">
        <w:rPr>
          <w:i/>
          <w:iCs/>
        </w:rPr>
        <w:t>try logging out and logging back in again. This will refresh your access token and may resolve the problem.</w:t>
      </w:r>
    </w:p>
    <w:p w14:paraId="019D6E45" w14:textId="5C01BA2B" w:rsidR="00530413" w:rsidRDefault="00530413" w:rsidP="00530413">
      <w:r>
        <w:t xml:space="preserve">If a selected repertoire already exists in the desired context, it will be skipped. This makes it easier to update data for a context over time (e.g., </w:t>
      </w:r>
      <w:proofErr w:type="spellStart"/>
      <w:r>
        <w:t>clonoSEQ</w:t>
      </w:r>
      <w:proofErr w:type="spellEnd"/>
      <w:r>
        <w:t xml:space="preserve"> results for a patient). Just search on the patient identifier, “select all” and then import --- new repertoires will be added and existing ones ignored.</w:t>
      </w:r>
    </w:p>
    <w:p w14:paraId="34E882F4" w14:textId="18B6DB50" w:rsidR="00106372" w:rsidRDefault="00106372" w:rsidP="00106372">
      <w:r>
        <w:t>As with Update, if this is the first repertoire in a new context, refresh your browser so it appears in the “context” dropdown. If the context already exists, new repertoires will show up automatically.</w:t>
      </w:r>
    </w:p>
    <w:p w14:paraId="071E56D0" w14:textId="1380D593" w:rsidR="005F7B4F" w:rsidRDefault="005F7B4F" w:rsidP="005F7B4F">
      <w:pPr>
        <w:pStyle w:val="Heading3"/>
      </w:pPr>
      <w:bookmarkStart w:id="5" w:name="_Toc180515924"/>
      <w:r>
        <w:t>Delete</w:t>
      </w:r>
      <w:bookmarkEnd w:id="5"/>
    </w:p>
    <w:p w14:paraId="515B9431" w14:textId="2DABAE45" w:rsidR="00275779" w:rsidRDefault="00E559D4" w:rsidP="00106372">
      <w:r>
        <w:t>T</w:t>
      </w:r>
      <w:r w:rsidR="005F65F9">
        <w:t xml:space="preserve">he “Delete” button can be used to remove repertoires </w:t>
      </w:r>
      <w:r w:rsidR="00A9666B">
        <w:t xml:space="preserve">present in </w:t>
      </w:r>
      <w:r w:rsidR="005F65F9">
        <w:t xml:space="preserve">the current context. </w:t>
      </w:r>
    </w:p>
    <w:p w14:paraId="77ADAE73" w14:textId="5FCA7DB6" w:rsidR="005F7B4F" w:rsidRDefault="00275779" w:rsidP="00106372">
      <w:r>
        <w:t>When the last repertoire is removed from a context, that context is automatically removed as well. You can recreate it at any time by Uploading or Importing repertoires using the original context name.</w:t>
      </w:r>
    </w:p>
    <w:p w14:paraId="1C341866" w14:textId="7E144BC0" w:rsidR="00530413" w:rsidRDefault="00016823" w:rsidP="00016823">
      <w:pPr>
        <w:pStyle w:val="Heading2"/>
      </w:pPr>
      <w:bookmarkStart w:id="6" w:name="_Toc180515925"/>
      <w:r>
        <w:lastRenderedPageBreak/>
        <w:t>Actions</w:t>
      </w:r>
      <w:bookmarkEnd w:id="6"/>
    </w:p>
    <w:p w14:paraId="1820F677" w14:textId="43D84307" w:rsidR="00016823" w:rsidRDefault="00806C2F" w:rsidP="00806C2F">
      <w:pPr>
        <w:pStyle w:val="Heading3"/>
      </w:pPr>
      <w:bookmarkStart w:id="7" w:name="_Toc180515926"/>
      <w:r>
        <w:t>Top 100</w:t>
      </w:r>
      <w:bookmarkEnd w:id="7"/>
    </w:p>
    <w:p w14:paraId="68C69ED6" w14:textId="0A470D53" w:rsidR="00806C2F" w:rsidRDefault="00517EA9" w:rsidP="00530413">
      <w:r>
        <w:t>This is the most common action for viewing details of a single repertoire</w:t>
      </w:r>
      <w:r w:rsidR="00613693">
        <w:t>.</w:t>
      </w:r>
      <w:r w:rsidR="005D3988">
        <w:t xml:space="preserve"> To make the feature performant, only the top 100 rearrangements sorted descending </w:t>
      </w:r>
      <w:r w:rsidR="00BD68B3">
        <w:t xml:space="preserve">by the selected metric (% of Locus by default) </w:t>
      </w:r>
      <w:r w:rsidR="005D3988">
        <w:t>are displayed.</w:t>
      </w:r>
    </w:p>
    <w:p w14:paraId="68307B80" w14:textId="0B6D6661" w:rsidR="00016823" w:rsidRDefault="00E439C3" w:rsidP="00530413">
      <w:r>
        <w:rPr>
          <w:noProof/>
        </w:rPr>
        <w:drawing>
          <wp:inline distT="0" distB="0" distL="0" distR="0" wp14:anchorId="3AE46B59" wp14:editId="2C1BA20D">
            <wp:extent cx="6097904" cy="3103066"/>
            <wp:effectExtent l="0" t="0" r="0" b="2540"/>
            <wp:docPr id="138143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7232" cy="3107813"/>
                    </a:xfrm>
                    <a:prstGeom prst="rect">
                      <a:avLst/>
                    </a:prstGeom>
                    <a:noFill/>
                  </pic:spPr>
                </pic:pic>
              </a:graphicData>
            </a:graphic>
          </wp:inline>
        </w:drawing>
      </w:r>
    </w:p>
    <w:p w14:paraId="09009169" w14:textId="77777777" w:rsidR="005D3988" w:rsidRDefault="005D3988" w:rsidP="00530413"/>
    <w:p w14:paraId="658A0386" w14:textId="206354BC" w:rsidR="00687C64" w:rsidRDefault="002D2EDB" w:rsidP="008A52FA">
      <w:pPr>
        <w:pStyle w:val="ListParagraph"/>
        <w:numPr>
          <w:ilvl w:val="0"/>
          <w:numId w:val="5"/>
        </w:numPr>
      </w:pPr>
      <w:r>
        <w:t>The header shows</w:t>
      </w:r>
      <w:r w:rsidR="008A52FA">
        <w:t xml:space="preserve"> aggregate values for the repertoir</w:t>
      </w:r>
      <w:r w:rsidR="00AC4E1C">
        <w:t>e:</w:t>
      </w:r>
    </w:p>
    <w:p w14:paraId="33F277E8" w14:textId="456156CF" w:rsidR="00AC4E1C" w:rsidRDefault="00AC4E1C" w:rsidP="00AC4E1C">
      <w:pPr>
        <w:pStyle w:val="ListParagraph"/>
        <w:numPr>
          <w:ilvl w:val="1"/>
          <w:numId w:val="5"/>
        </w:numPr>
      </w:pPr>
      <w:r>
        <w:t>Total sequence count</w:t>
      </w:r>
    </w:p>
    <w:p w14:paraId="028E8E58" w14:textId="65C5C07B" w:rsidR="00AC4E1C" w:rsidRDefault="00BF36CD" w:rsidP="00AC4E1C">
      <w:pPr>
        <w:pStyle w:val="ListParagraph"/>
        <w:numPr>
          <w:ilvl w:val="1"/>
          <w:numId w:val="5"/>
        </w:numPr>
      </w:pPr>
      <w:r>
        <w:t>S</w:t>
      </w:r>
      <w:r w:rsidR="00AC4E1C">
        <w:t xml:space="preserve">equence counts </w:t>
      </w:r>
      <w:r>
        <w:t>grouped by locus</w:t>
      </w:r>
      <w:r w:rsidR="005E671D">
        <w:t xml:space="preserve"> group</w:t>
      </w:r>
      <w:r>
        <w:t xml:space="preserve"> </w:t>
      </w:r>
      <w:r w:rsidR="00AC4E1C">
        <w:t>(</w:t>
      </w:r>
      <w:r w:rsidR="00856858">
        <w:t>TCRAD, TCRB, TCRG, IGH, IGKL</w:t>
      </w:r>
      <w:r w:rsidR="002D2EDB">
        <w:t>)</w:t>
      </w:r>
    </w:p>
    <w:p w14:paraId="71970A3C" w14:textId="29B25A0E" w:rsidR="002D2EDB" w:rsidRDefault="002D2EDB" w:rsidP="00AC4E1C">
      <w:pPr>
        <w:pStyle w:val="ListParagraph"/>
        <w:numPr>
          <w:ilvl w:val="1"/>
          <w:numId w:val="5"/>
        </w:numPr>
      </w:pPr>
      <w:r>
        <w:t>Total number of unique sequences</w:t>
      </w:r>
    </w:p>
    <w:p w14:paraId="34F6E170" w14:textId="029B7295" w:rsidR="002D2EDB" w:rsidRDefault="002D2EDB" w:rsidP="00AC4E1C">
      <w:pPr>
        <w:pStyle w:val="ListParagraph"/>
        <w:numPr>
          <w:ilvl w:val="1"/>
          <w:numId w:val="5"/>
        </w:numPr>
      </w:pPr>
      <w:r>
        <w:t>Count of cells in the sample, or milliliters for cell-free repertoires</w:t>
      </w:r>
      <w:r w:rsidR="00A207CB">
        <w:t xml:space="preserve">. </w:t>
      </w:r>
    </w:p>
    <w:p w14:paraId="52F41B65" w14:textId="1A7BF7AA" w:rsidR="002D2EDB" w:rsidRDefault="002D2EDB" w:rsidP="002D2EDB">
      <w:pPr>
        <w:pStyle w:val="ListParagraph"/>
        <w:numPr>
          <w:ilvl w:val="0"/>
          <w:numId w:val="5"/>
        </w:numPr>
      </w:pPr>
      <w:r>
        <w:t xml:space="preserve">The dropdown </w:t>
      </w:r>
      <w:r w:rsidR="005D6438">
        <w:t xml:space="preserve">changes the </w:t>
      </w:r>
      <w:proofErr w:type="gramStart"/>
      <w:r w:rsidR="00A06BE0">
        <w:t>sort</w:t>
      </w:r>
      <w:proofErr w:type="gramEnd"/>
      <w:r w:rsidR="00A06BE0">
        <w:t xml:space="preserve"> </w:t>
      </w:r>
      <w:r w:rsidR="005D6438">
        <w:t>metri</w:t>
      </w:r>
      <w:r w:rsidR="00A06BE0">
        <w:t>c</w:t>
      </w:r>
      <w:r w:rsidR="005D6438">
        <w:t>:</w:t>
      </w:r>
    </w:p>
    <w:p w14:paraId="40DB0068" w14:textId="77777777" w:rsidR="00A06BE0" w:rsidRDefault="00A06BE0" w:rsidP="005D6438">
      <w:pPr>
        <w:pStyle w:val="ListParagraph"/>
        <w:numPr>
          <w:ilvl w:val="1"/>
          <w:numId w:val="5"/>
        </w:numPr>
      </w:pPr>
      <w:r>
        <w:t>Simple Count</w:t>
      </w:r>
    </w:p>
    <w:p w14:paraId="45621567" w14:textId="35416117" w:rsidR="00A06BE0" w:rsidRDefault="00A06BE0" w:rsidP="005D6438">
      <w:pPr>
        <w:pStyle w:val="ListParagraph"/>
        <w:numPr>
          <w:ilvl w:val="1"/>
          <w:numId w:val="5"/>
        </w:numPr>
      </w:pPr>
      <w:r>
        <w:t>Percentage of this sequence within cell count (or milliliters for cell-free)</w:t>
      </w:r>
    </w:p>
    <w:p w14:paraId="2897FF51" w14:textId="422FDA6B" w:rsidR="005D6438" w:rsidRDefault="005D6438" w:rsidP="005D6438">
      <w:pPr>
        <w:pStyle w:val="ListParagraph"/>
        <w:numPr>
          <w:ilvl w:val="1"/>
          <w:numId w:val="5"/>
        </w:numPr>
      </w:pPr>
      <w:r>
        <w:t>Percentage of this sequence within its locus group, by count</w:t>
      </w:r>
    </w:p>
    <w:p w14:paraId="3B6F01B0" w14:textId="2BCE2BCD" w:rsidR="00A06BE0" w:rsidRDefault="00A06BE0" w:rsidP="00A06BE0">
      <w:pPr>
        <w:pStyle w:val="ListParagraph"/>
        <w:numPr>
          <w:ilvl w:val="0"/>
          <w:numId w:val="5"/>
        </w:numPr>
      </w:pPr>
      <w:r>
        <w:t xml:space="preserve">The </w:t>
      </w:r>
      <w:r w:rsidR="00713559">
        <w:t>results tale contains the following columns:</w:t>
      </w:r>
    </w:p>
    <w:p w14:paraId="20F85E95" w14:textId="00EF9A84" w:rsidR="00713559" w:rsidRDefault="00713559" w:rsidP="00713559">
      <w:pPr>
        <w:pStyle w:val="ListParagraph"/>
        <w:numPr>
          <w:ilvl w:val="1"/>
          <w:numId w:val="5"/>
        </w:numPr>
      </w:pPr>
      <w:r>
        <w:t>Locus</w:t>
      </w:r>
      <w:r w:rsidR="005E671D">
        <w:t xml:space="preserve"> (TCRAD, TCRB, TCRG, IGH, </w:t>
      </w:r>
      <w:r w:rsidR="00A207CB">
        <w:t xml:space="preserve">DJ, </w:t>
      </w:r>
      <w:r w:rsidR="005E671D">
        <w:t>IGK</w:t>
      </w:r>
      <w:r w:rsidR="00A207CB">
        <w:t>, IGL</w:t>
      </w:r>
      <w:r w:rsidR="005E671D">
        <w:t>)</w:t>
      </w:r>
    </w:p>
    <w:p w14:paraId="5915811C" w14:textId="49261866" w:rsidR="00713559" w:rsidRDefault="00713559" w:rsidP="00713559">
      <w:pPr>
        <w:pStyle w:val="ListParagraph"/>
        <w:numPr>
          <w:ilvl w:val="1"/>
          <w:numId w:val="5"/>
        </w:numPr>
      </w:pPr>
      <w:r>
        <w:t>Count</w:t>
      </w:r>
      <w:r w:rsidR="00A207CB">
        <w:t xml:space="preserve"> as estimated by the assay</w:t>
      </w:r>
    </w:p>
    <w:p w14:paraId="1B41D044" w14:textId="172C7DD5" w:rsidR="00A207CB" w:rsidRDefault="00A207CB" w:rsidP="00713559">
      <w:pPr>
        <w:pStyle w:val="ListParagraph"/>
        <w:numPr>
          <w:ilvl w:val="1"/>
          <w:numId w:val="5"/>
        </w:numPr>
      </w:pPr>
      <w:r>
        <w:t>% Locus</w:t>
      </w:r>
    </w:p>
    <w:p w14:paraId="6251C3DC" w14:textId="77B1A97E" w:rsidR="00A207CB" w:rsidRDefault="00A207CB" w:rsidP="00713559">
      <w:pPr>
        <w:pStyle w:val="ListParagraph"/>
        <w:numPr>
          <w:ilvl w:val="1"/>
          <w:numId w:val="5"/>
        </w:numPr>
      </w:pPr>
      <w:r>
        <w:t xml:space="preserve">% Cells (or </w:t>
      </w:r>
      <w:r w:rsidR="007D06FC">
        <w:t>Count/ML for cell-free)</w:t>
      </w:r>
    </w:p>
    <w:p w14:paraId="6C9DB47F" w14:textId="257CF1F4" w:rsidR="007D06FC" w:rsidRDefault="00B32EC8" w:rsidP="00713559">
      <w:pPr>
        <w:pStyle w:val="ListParagraph"/>
        <w:numPr>
          <w:ilvl w:val="1"/>
          <w:numId w:val="5"/>
        </w:numPr>
      </w:pPr>
      <w:r>
        <w:t xml:space="preserve">Nucleotide </w:t>
      </w:r>
      <w:r w:rsidR="00E71233">
        <w:t>rearrangement sequence</w:t>
      </w:r>
      <w:r w:rsidR="00BF11D1">
        <w:t xml:space="preserve">. </w:t>
      </w:r>
    </w:p>
    <w:p w14:paraId="4066C4EB" w14:textId="6382AFF7" w:rsidR="00B32EC8" w:rsidRDefault="00B32EC8" w:rsidP="00713559">
      <w:pPr>
        <w:pStyle w:val="ListParagraph"/>
        <w:numPr>
          <w:ilvl w:val="1"/>
          <w:numId w:val="5"/>
        </w:numPr>
      </w:pPr>
      <w:r>
        <w:t>Amino Acid, if the sequence is productive</w:t>
      </w:r>
    </w:p>
    <w:p w14:paraId="166582F5" w14:textId="183D9E9F" w:rsidR="00B32EC8" w:rsidRDefault="00984C2A" w:rsidP="00713559">
      <w:pPr>
        <w:pStyle w:val="ListParagraph"/>
        <w:numPr>
          <w:ilvl w:val="1"/>
          <w:numId w:val="5"/>
        </w:numPr>
      </w:pPr>
      <w:r>
        <w:t>Identified V, D and J genes or alleles (depending on assay confidence)</w:t>
      </w:r>
    </w:p>
    <w:p w14:paraId="4DAAF4F7" w14:textId="3B6A84D8" w:rsidR="00984C2A" w:rsidRDefault="006449D6" w:rsidP="00713559">
      <w:pPr>
        <w:pStyle w:val="ListParagraph"/>
        <w:numPr>
          <w:ilvl w:val="1"/>
          <w:numId w:val="5"/>
        </w:numPr>
      </w:pPr>
      <w:r>
        <w:t>Probability of sequence uniqueness, if available (log10)</w:t>
      </w:r>
    </w:p>
    <w:p w14:paraId="49A4CB98" w14:textId="00AA637F" w:rsidR="003F0F31" w:rsidRDefault="003F0F31" w:rsidP="00713559">
      <w:pPr>
        <w:pStyle w:val="ListParagraph"/>
        <w:numPr>
          <w:ilvl w:val="1"/>
          <w:numId w:val="5"/>
        </w:numPr>
      </w:pPr>
      <w:r>
        <w:lastRenderedPageBreak/>
        <w:t>A link to open an analysis of this rearrangement</w:t>
      </w:r>
      <w:r>
        <w:t xml:space="preserve"> using  </w:t>
      </w:r>
      <w:hyperlink r:id="rId16" w:history="1">
        <w:r w:rsidRPr="00984A95">
          <w:rPr>
            <w:rStyle w:val="Hyperlink"/>
          </w:rPr>
          <w:t>IMGT V-Quest</w:t>
        </w:r>
      </w:hyperlink>
      <w:r>
        <w:t>.</w:t>
      </w:r>
    </w:p>
    <w:p w14:paraId="12467006" w14:textId="30EA7CA6" w:rsidR="00E71233" w:rsidRPr="00E71233" w:rsidRDefault="00E71233" w:rsidP="00E71233">
      <w:pPr>
        <w:rPr>
          <w:i/>
          <w:iCs/>
          <w:color w:val="FF0000"/>
        </w:rPr>
      </w:pPr>
      <w:r w:rsidRPr="00E71233">
        <w:rPr>
          <w:i/>
          <w:iCs/>
          <w:color w:val="FF0000"/>
        </w:rPr>
        <w:t>Note: The “rearrangement” column is colored to identify aligned regions: V, N1, D, N2 and J. However, this code is currently not particularly reliable</w:t>
      </w:r>
      <w:r w:rsidR="003F0F31">
        <w:rPr>
          <w:i/>
          <w:iCs/>
          <w:color w:val="FF0000"/>
        </w:rPr>
        <w:t>, especially for B-Cell rearrangements. A</w:t>
      </w:r>
      <w:r w:rsidRPr="00E71233">
        <w:rPr>
          <w:i/>
          <w:iCs/>
          <w:color w:val="FF0000"/>
        </w:rPr>
        <w:t xml:space="preserve">n update is pending to make this a </w:t>
      </w:r>
      <w:r w:rsidR="003F0F31">
        <w:rPr>
          <w:i/>
          <w:iCs/>
          <w:color w:val="FF0000"/>
        </w:rPr>
        <w:t xml:space="preserve">more </w:t>
      </w:r>
      <w:r w:rsidRPr="00E71233">
        <w:rPr>
          <w:i/>
          <w:iCs/>
          <w:color w:val="FF0000"/>
        </w:rPr>
        <w:t>useful feature.</w:t>
      </w:r>
    </w:p>
    <w:p w14:paraId="74B86DE5" w14:textId="555C9BEE" w:rsidR="00E71233" w:rsidRDefault="004F620E" w:rsidP="004F620E">
      <w:pPr>
        <w:pStyle w:val="Heading3"/>
      </w:pPr>
      <w:bookmarkStart w:id="8" w:name="_Toc180515927"/>
      <w:r>
        <w:t>Details</w:t>
      </w:r>
      <w:bookmarkEnd w:id="8"/>
    </w:p>
    <w:p w14:paraId="27355A94" w14:textId="708751B5" w:rsidR="005D6438" w:rsidRDefault="004F620E" w:rsidP="002C0FF3">
      <w:r>
        <w:t>The details action uses the same display format</w:t>
      </w:r>
      <w:r w:rsidR="002C0FF3">
        <w:t xml:space="preserve"> as Top </w:t>
      </w:r>
      <w:proofErr w:type="gramStart"/>
      <w:r w:rsidR="002C0FF3">
        <w:t>100</w:t>
      </w:r>
      <w:r>
        <w:t>, but</w:t>
      </w:r>
      <w:proofErr w:type="gramEnd"/>
      <w:r>
        <w:t xml:space="preserve"> returns all rearrangements in the repertoire. </w:t>
      </w:r>
      <w:r w:rsidR="002C0FF3">
        <w:t>The rearrangements are unsorted and appear in the order they are present in the source TSV file. The “FORWARD” and “BACK” links page through the table.</w:t>
      </w:r>
    </w:p>
    <w:p w14:paraId="4EE4D148" w14:textId="1F2BBB50" w:rsidR="002C0FF3" w:rsidRDefault="00453B82" w:rsidP="00453B82">
      <w:pPr>
        <w:pStyle w:val="Heading3"/>
      </w:pPr>
      <w:bookmarkStart w:id="9" w:name="_Toc180515928"/>
      <w:r>
        <w:t>Search</w:t>
      </w:r>
      <w:bookmarkEnd w:id="9"/>
    </w:p>
    <w:p w14:paraId="69B75F17" w14:textId="2EBC5E86" w:rsidR="00453B82" w:rsidRDefault="00F158FA" w:rsidP="002C0FF3">
      <w:r>
        <w:t>VDJ can search multiple samples for instances of a target nucleotide or amino acid sequence</w:t>
      </w:r>
      <w:r w:rsidR="003D03D1">
        <w:t>.</w:t>
      </w:r>
    </w:p>
    <w:p w14:paraId="39DA5BFD" w14:textId="23AE7C09" w:rsidR="003D03D1" w:rsidRDefault="003D03D1" w:rsidP="002C0FF3">
      <w:r>
        <w:rPr>
          <w:noProof/>
        </w:rPr>
        <w:drawing>
          <wp:inline distT="0" distB="0" distL="0" distR="0" wp14:anchorId="094FE267" wp14:editId="3666BE8E">
            <wp:extent cx="5869304" cy="2986738"/>
            <wp:effectExtent l="0" t="0" r="0" b="4445"/>
            <wp:docPr id="39488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6636" cy="2995558"/>
                    </a:xfrm>
                    <a:prstGeom prst="rect">
                      <a:avLst/>
                    </a:prstGeom>
                    <a:noFill/>
                  </pic:spPr>
                </pic:pic>
              </a:graphicData>
            </a:graphic>
          </wp:inline>
        </w:drawing>
      </w:r>
    </w:p>
    <w:p w14:paraId="3E84BD2D" w14:textId="07EB5FBB" w:rsidR="003D03D1" w:rsidRDefault="003D03D1" w:rsidP="003D03D1">
      <w:pPr>
        <w:pStyle w:val="ListParagraph"/>
        <w:numPr>
          <w:ilvl w:val="0"/>
          <w:numId w:val="6"/>
        </w:numPr>
      </w:pPr>
      <w:r>
        <w:t xml:space="preserve">Select a target for the search (i.e., </w:t>
      </w:r>
      <w:r w:rsidR="00585C3E">
        <w:t>the “haystack</w:t>
      </w:r>
      <w:r>
        <w:t>”):</w:t>
      </w:r>
    </w:p>
    <w:p w14:paraId="51BFBB8E" w14:textId="3C7B804D" w:rsidR="003D03D1" w:rsidRDefault="003D03D1" w:rsidP="003D03D1">
      <w:pPr>
        <w:pStyle w:val="ListParagraph"/>
        <w:numPr>
          <w:ilvl w:val="1"/>
          <w:numId w:val="6"/>
        </w:numPr>
      </w:pPr>
      <w:r>
        <w:t>Nucleotide: anywhere in the nucleotide sequence</w:t>
      </w:r>
    </w:p>
    <w:p w14:paraId="3C260037" w14:textId="21FC35C2" w:rsidR="003D03D1" w:rsidRDefault="003D03D1" w:rsidP="003D03D1">
      <w:pPr>
        <w:pStyle w:val="ListParagraph"/>
        <w:numPr>
          <w:ilvl w:val="1"/>
          <w:numId w:val="6"/>
        </w:numPr>
      </w:pPr>
      <w:r>
        <w:t>CDR3: the identified CDR3 region, a subset of the full sequence</w:t>
      </w:r>
    </w:p>
    <w:p w14:paraId="1B43BEFC" w14:textId="10530034" w:rsidR="003D03D1" w:rsidRDefault="00585C3E" w:rsidP="003D03D1">
      <w:pPr>
        <w:pStyle w:val="ListParagraph"/>
        <w:numPr>
          <w:ilvl w:val="1"/>
          <w:numId w:val="6"/>
        </w:numPr>
      </w:pPr>
      <w:r>
        <w:t>Amino Acid: the translated protein sequence for the CDR3 region</w:t>
      </w:r>
    </w:p>
    <w:p w14:paraId="17570C33" w14:textId="01722D62" w:rsidR="00585C3E" w:rsidRDefault="00585C3E" w:rsidP="00585C3E">
      <w:pPr>
        <w:pStyle w:val="ListParagraph"/>
        <w:numPr>
          <w:ilvl w:val="0"/>
          <w:numId w:val="6"/>
        </w:numPr>
      </w:pPr>
      <w:r>
        <w:t xml:space="preserve">Enter the </w:t>
      </w:r>
      <w:r w:rsidR="005A3908">
        <w:t>nucleotide or protein sequence to search for (i.e., the “needle”)</w:t>
      </w:r>
    </w:p>
    <w:p w14:paraId="02D89C5E" w14:textId="4492D5DC" w:rsidR="005A3908" w:rsidRDefault="005A3908" w:rsidP="00585C3E">
      <w:pPr>
        <w:pStyle w:val="ListParagraph"/>
        <w:numPr>
          <w:ilvl w:val="0"/>
          <w:numId w:val="6"/>
        </w:numPr>
      </w:pPr>
      <w:r>
        <w:t>If “Match full sequence” is checked, the needle and the haystack must match exactly</w:t>
      </w:r>
      <w:r w:rsidR="004B1F87">
        <w:t>, o</w:t>
      </w:r>
      <w:r w:rsidR="00E2747F">
        <w:t>therwise the needle may be any substring of the haystack</w:t>
      </w:r>
      <w:r>
        <w:t xml:space="preserve">. For example, </w:t>
      </w:r>
      <w:r w:rsidR="00093F35">
        <w:t>the amino acid sequence “</w:t>
      </w:r>
      <w:r w:rsidR="00093F35" w:rsidRPr="00F9475E">
        <w:rPr>
          <w:b/>
          <w:bCs/>
          <w:color w:val="FF0000"/>
        </w:rPr>
        <w:t>CAEENWN</w:t>
      </w:r>
      <w:r w:rsidR="00093F35">
        <w:t>” will match the sequence “</w:t>
      </w:r>
      <w:r w:rsidR="00F675C5" w:rsidRPr="00F9475E">
        <w:rPr>
          <w:b/>
          <w:bCs/>
          <w:color w:val="FF0000"/>
        </w:rPr>
        <w:t>CAEENWN</w:t>
      </w:r>
      <w:r w:rsidR="00F675C5" w:rsidRPr="00F675C5">
        <w:t>YGWFDPW</w:t>
      </w:r>
      <w:r w:rsidR="00F675C5">
        <w:t xml:space="preserve">” only if this box is </w:t>
      </w:r>
      <w:proofErr w:type="spellStart"/>
      <w:r w:rsidR="00F675C5">
        <w:t>U</w:t>
      </w:r>
      <w:r w:rsidR="00E2747F">
        <w:t>N</w:t>
      </w:r>
      <w:r w:rsidR="00F675C5">
        <w:t>checked</w:t>
      </w:r>
      <w:proofErr w:type="spellEnd"/>
      <w:r w:rsidR="00F675C5">
        <w:t>.</w:t>
      </w:r>
    </w:p>
    <w:p w14:paraId="0C09C1DC" w14:textId="1FA9BB56" w:rsidR="00F675C5" w:rsidRDefault="00F75B31" w:rsidP="00585C3E">
      <w:pPr>
        <w:pStyle w:val="ListParagraph"/>
        <w:numPr>
          <w:ilvl w:val="0"/>
          <w:numId w:val="6"/>
        </w:numPr>
      </w:pPr>
      <w:r>
        <w:t xml:space="preserve">“Allowed Mutations” </w:t>
      </w:r>
      <w:r w:rsidR="00F9475E">
        <w:t>accepts</w:t>
      </w:r>
      <w:r w:rsidR="00C11F6B">
        <w:t xml:space="preserve"> a </w:t>
      </w:r>
      <w:r w:rsidR="00F9475E">
        <w:t xml:space="preserve">given </w:t>
      </w:r>
      <w:r w:rsidR="00C11F6B">
        <w:t xml:space="preserve">number of mismatches (i.e., substitutions) between the needle and the haystack. </w:t>
      </w:r>
      <w:r w:rsidR="00F9475E">
        <w:t>For example, if this value is one, the needle “</w:t>
      </w:r>
      <w:r w:rsidR="00F9475E" w:rsidRPr="00F9475E">
        <w:t>CAEEN</w:t>
      </w:r>
      <w:r w:rsidR="00F9475E" w:rsidRPr="00F9475E">
        <w:rPr>
          <w:b/>
          <w:bCs/>
          <w:color w:val="FF0000"/>
        </w:rPr>
        <w:t>W</w:t>
      </w:r>
      <w:r w:rsidR="00F9475E" w:rsidRPr="00F9475E">
        <w:t>N</w:t>
      </w:r>
      <w:r w:rsidR="00F9475E">
        <w:t>” will match the haystack “</w:t>
      </w:r>
      <w:r w:rsidR="00F9475E" w:rsidRPr="00F9475E">
        <w:t>CAEEN</w:t>
      </w:r>
      <w:r w:rsidR="00F9475E" w:rsidRPr="00F9475E">
        <w:rPr>
          <w:b/>
          <w:bCs/>
          <w:color w:val="FF0000"/>
        </w:rPr>
        <w:t>A</w:t>
      </w:r>
      <w:r w:rsidR="00F9475E" w:rsidRPr="00F9475E">
        <w:t>N</w:t>
      </w:r>
      <w:r w:rsidR="00F9475E">
        <w:t>”.</w:t>
      </w:r>
      <w:r w:rsidR="00074D93">
        <w:t xml:space="preserve"> This parameter works only for substitutions, not insertions or deletions. </w:t>
      </w:r>
    </w:p>
    <w:p w14:paraId="71F63F66" w14:textId="59E15EB4" w:rsidR="00074D93" w:rsidRDefault="00247FDE" w:rsidP="00247FDE">
      <w:pPr>
        <w:pStyle w:val="Heading3"/>
      </w:pPr>
      <w:bookmarkStart w:id="10" w:name="_Toc180515929"/>
      <w:r>
        <w:lastRenderedPageBreak/>
        <w:t>Overlap</w:t>
      </w:r>
      <w:bookmarkEnd w:id="10"/>
    </w:p>
    <w:p w14:paraId="7C70ED7A" w14:textId="65EAD768" w:rsidR="00247FDE" w:rsidRDefault="001A0F54" w:rsidP="00074D93">
      <w:r>
        <w:t xml:space="preserve">The Overlap action identifies commonality between two or more </w:t>
      </w:r>
      <w:proofErr w:type="gramStart"/>
      <w:r>
        <w:t>repertoires</w:t>
      </w:r>
      <w:proofErr w:type="gramEnd"/>
      <w:r>
        <w:t xml:space="preserve"> </w:t>
      </w:r>
      <w:r w:rsidR="00D008EF">
        <w:t xml:space="preserve">(currently set to a maximum of six). </w:t>
      </w:r>
      <w:r w:rsidR="00AB3196">
        <w:t xml:space="preserve">Comparison can be done by full nucleotide sequence, identified CDR3, or amino acid sequence. </w:t>
      </w:r>
    </w:p>
    <w:p w14:paraId="69EA07ED" w14:textId="397B02FF" w:rsidR="007632E7" w:rsidRDefault="007632E7" w:rsidP="00074D93">
      <w:r>
        <w:rPr>
          <w:noProof/>
        </w:rPr>
        <w:drawing>
          <wp:inline distT="0" distB="0" distL="0" distR="0" wp14:anchorId="563565EC" wp14:editId="3CEE7E92">
            <wp:extent cx="6066155" cy="3086910"/>
            <wp:effectExtent l="0" t="0" r="0" b="0"/>
            <wp:docPr id="1865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3824" cy="3095902"/>
                    </a:xfrm>
                    <a:prstGeom prst="rect">
                      <a:avLst/>
                    </a:prstGeom>
                    <a:noFill/>
                  </pic:spPr>
                </pic:pic>
              </a:graphicData>
            </a:graphic>
          </wp:inline>
        </w:drawing>
      </w:r>
    </w:p>
    <w:p w14:paraId="0B5F741C" w14:textId="1F8C1730" w:rsidR="00C5565A" w:rsidRDefault="00C5734B" w:rsidP="00C5565A">
      <w:pPr>
        <w:pStyle w:val="ListParagraph"/>
        <w:numPr>
          <w:ilvl w:val="0"/>
          <w:numId w:val="7"/>
        </w:numPr>
      </w:pPr>
      <w:r>
        <w:t>The resulting table shows the overlapping</w:t>
      </w:r>
      <w:r w:rsidR="001B778F">
        <w:t xml:space="preserve"> nucleotide or protein sequence. Note that in the case of “CDR3” matching this is a substring of the full nucleotide sequence.</w:t>
      </w:r>
      <w:r w:rsidR="00C5565A">
        <w:t xml:space="preserve"> Clicking on a sequence will open a new “Search” tab showing detailed results.</w:t>
      </w:r>
    </w:p>
    <w:p w14:paraId="441D58EF" w14:textId="09150141" w:rsidR="00C5565A" w:rsidRDefault="00270FAA" w:rsidP="00C5565A">
      <w:pPr>
        <w:pStyle w:val="ListParagraph"/>
        <w:numPr>
          <w:ilvl w:val="0"/>
          <w:numId w:val="7"/>
        </w:numPr>
      </w:pPr>
      <w:r>
        <w:t>Other</w:t>
      </w:r>
      <w:r w:rsidR="00BF4E89">
        <w:t xml:space="preserve"> columns in the table provide information on the overlap:</w:t>
      </w:r>
    </w:p>
    <w:p w14:paraId="4AF76619" w14:textId="15650B8D" w:rsidR="00BF4E89" w:rsidRDefault="00BF4E89" w:rsidP="00BF4E89">
      <w:pPr>
        <w:pStyle w:val="ListParagraph"/>
        <w:numPr>
          <w:ilvl w:val="1"/>
          <w:numId w:val="7"/>
        </w:numPr>
      </w:pPr>
      <w:r>
        <w:t xml:space="preserve">“Present In” specifies the number of samples containing </w:t>
      </w:r>
      <w:r w:rsidR="00270FAA">
        <w:t>the overlap.</w:t>
      </w:r>
    </w:p>
    <w:p w14:paraId="18B9F08B" w14:textId="35854785" w:rsidR="00270FAA" w:rsidRDefault="00270FAA" w:rsidP="00BF4E89">
      <w:pPr>
        <w:pStyle w:val="ListParagraph"/>
        <w:numPr>
          <w:ilvl w:val="1"/>
          <w:numId w:val="7"/>
        </w:numPr>
      </w:pPr>
      <w:r>
        <w:t>“Max Count” is the maximum count found in any sample.</w:t>
      </w:r>
    </w:p>
    <w:p w14:paraId="3895AD60" w14:textId="4C66DDF0" w:rsidR="00270FAA" w:rsidRDefault="00270FAA" w:rsidP="00BF4E89">
      <w:pPr>
        <w:pStyle w:val="ListParagraph"/>
        <w:numPr>
          <w:ilvl w:val="1"/>
          <w:numId w:val="7"/>
        </w:numPr>
      </w:pPr>
      <w:r>
        <w:t>Each repertoire is then represented in a column with its count value.</w:t>
      </w:r>
    </w:p>
    <w:p w14:paraId="0B85C9AE" w14:textId="13275FA3" w:rsidR="00270FAA" w:rsidRDefault="00270FAA" w:rsidP="00270FAA">
      <w:r>
        <w:t>Only sequences that appear in at least two repertoires are returned in this table, which is sorted descending first by “Present In” and then by “Max Count.”</w:t>
      </w:r>
    </w:p>
    <w:p w14:paraId="78257B50" w14:textId="4AFA3B07" w:rsidR="00270FAA" w:rsidRDefault="006C6FB1" w:rsidP="006C6FB1">
      <w:pPr>
        <w:pStyle w:val="Heading3"/>
      </w:pPr>
      <w:bookmarkStart w:id="11" w:name="_Toc180515930"/>
      <w:r>
        <w:t>Overlap Scatter Plot</w:t>
      </w:r>
      <w:bookmarkEnd w:id="11"/>
    </w:p>
    <w:p w14:paraId="25DA25F2" w14:textId="58D8B943" w:rsidR="00EF26C6" w:rsidRDefault="00EF26C6" w:rsidP="00270FAA">
      <w:r>
        <w:t>When the Overlap action is run on exactly two repertoires, an additional option “Open Scatter Plot” will be present</w:t>
      </w:r>
      <w:r w:rsidR="00DE3FFB">
        <w:t xml:space="preserve"> on the results pane. Clicking this button will open a comparison chart between the two repertoires</w:t>
      </w:r>
      <w:r w:rsidR="000C2179">
        <w:t xml:space="preserve"> using the same metric.</w:t>
      </w:r>
    </w:p>
    <w:p w14:paraId="25C93F8B" w14:textId="4CD33920" w:rsidR="000C2179" w:rsidRDefault="00216B42" w:rsidP="00270FAA">
      <w:r>
        <w:rPr>
          <w:noProof/>
        </w:rPr>
        <w:lastRenderedPageBreak/>
        <w:drawing>
          <wp:inline distT="0" distB="0" distL="0" distR="0" wp14:anchorId="22FF3F07" wp14:editId="0D92EC10">
            <wp:extent cx="5728335" cy="2964165"/>
            <wp:effectExtent l="0" t="0" r="5715" b="8255"/>
            <wp:docPr id="494735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0424" cy="2970420"/>
                    </a:xfrm>
                    <a:prstGeom prst="rect">
                      <a:avLst/>
                    </a:prstGeom>
                    <a:noFill/>
                  </pic:spPr>
                </pic:pic>
              </a:graphicData>
            </a:graphic>
          </wp:inline>
        </w:drawing>
      </w:r>
    </w:p>
    <w:p w14:paraId="2D26E3BD" w14:textId="2186CAAD" w:rsidR="00216B42" w:rsidRDefault="00216B42" w:rsidP="00E71E27">
      <w:r>
        <w:t xml:space="preserve">The chart uses a log10 scale to plot normalized </w:t>
      </w:r>
      <w:r w:rsidR="004A2198">
        <w:t xml:space="preserve">values. This typically a percentage of </w:t>
      </w:r>
      <w:proofErr w:type="gramStart"/>
      <w:r w:rsidR="004A2198">
        <w:t>cells, but</w:t>
      </w:r>
      <w:proofErr w:type="gramEnd"/>
      <w:r w:rsidR="004A2198">
        <w:t xml:space="preserve"> can be count per milliliter for cell-free repertoires). </w:t>
      </w:r>
      <w:r w:rsidR="001A43C5" w:rsidRPr="001A43C5">
        <w:t xml:space="preserve">Sequences with equivalent abundance in both repertoires will trend along the </w:t>
      </w:r>
      <w:r w:rsidR="00E71E27">
        <w:t xml:space="preserve">SW-NE </w:t>
      </w:r>
      <w:r w:rsidR="001A43C5" w:rsidRPr="001A43C5">
        <w:t>diagonal line; those with differential abundance will fall in the top-left or bottom right quadrant</w:t>
      </w:r>
      <w:r w:rsidR="00E71E27">
        <w:t>.</w:t>
      </w:r>
    </w:p>
    <w:p w14:paraId="1E1C66EA" w14:textId="056B0D75" w:rsidR="004632DE" w:rsidRDefault="004632DE" w:rsidP="00270FAA">
      <w:r>
        <w:t>Clicking on a data point will</w:t>
      </w:r>
      <w:r w:rsidR="00997C53">
        <w:t xml:space="preserve"> display </w:t>
      </w:r>
      <w:r>
        <w:t>the sequences it represents including exact count values.</w:t>
      </w:r>
      <w:r w:rsidR="00997C53">
        <w:t xml:space="preserve"> </w:t>
      </w:r>
    </w:p>
    <w:p w14:paraId="10AE5A5D" w14:textId="0BC61C45" w:rsidR="00EB7FF0" w:rsidRDefault="001A55D6" w:rsidP="00283A99">
      <w:r>
        <w:t>U</w:t>
      </w:r>
      <w:r w:rsidR="004A2198">
        <w:t xml:space="preserve">nlike the overlap </w:t>
      </w:r>
      <w:r w:rsidR="00D60481">
        <w:t xml:space="preserve">results </w:t>
      </w:r>
      <w:r w:rsidR="004A2198">
        <w:t>table, ALL sequences in both sequences are represented on the chart, including those that appear in one of the two repertoires. These values are plotted just below and to the left of the axis lines.</w:t>
      </w:r>
    </w:p>
    <w:p w14:paraId="1ACDEDD5" w14:textId="71C5C59C" w:rsidR="003F0F31" w:rsidRDefault="003F0F31" w:rsidP="003F0F31">
      <w:pPr>
        <w:pStyle w:val="Heading3"/>
      </w:pPr>
      <w:bookmarkStart w:id="12" w:name="_Toc180515931"/>
      <w:r>
        <w:t>Track</w:t>
      </w:r>
      <w:bookmarkEnd w:id="12"/>
    </w:p>
    <w:p w14:paraId="2E585BD1" w14:textId="04C82BCC" w:rsidR="003F0F31" w:rsidRDefault="003F0F31" w:rsidP="00283A99">
      <w:r>
        <w:t xml:space="preserve">This action charts the abundance of dominant rearrangements across </w:t>
      </w:r>
      <w:proofErr w:type="gramStart"/>
      <w:r>
        <w:t>a number of</w:t>
      </w:r>
      <w:proofErr w:type="gramEnd"/>
      <w:r>
        <w:t xml:space="preserve"> related repertoires. It is </w:t>
      </w:r>
      <w:proofErr w:type="gramStart"/>
      <w:r>
        <w:t>similar to</w:t>
      </w:r>
      <w:proofErr w:type="gramEnd"/>
      <w:r>
        <w:t xml:space="preserve"> but not exactly the same as the information presented in a </w:t>
      </w:r>
      <w:hyperlink r:id="rId20" w:history="1">
        <w:proofErr w:type="spellStart"/>
        <w:r w:rsidRPr="003F0F31">
          <w:rPr>
            <w:rStyle w:val="Hyperlink"/>
          </w:rPr>
          <w:t>clonoSEQ</w:t>
        </w:r>
        <w:proofErr w:type="spellEnd"/>
      </w:hyperlink>
      <w:r>
        <w:t xml:space="preserve"> clinical report.</w:t>
      </w:r>
    </w:p>
    <w:p w14:paraId="59217467" w14:textId="61B59E8E" w:rsidR="0029409B" w:rsidRDefault="0029409B" w:rsidP="00283A99">
      <w:r>
        <w:t>The algorithm used to “track” dominant rearrangements is slightly different than the simple string matching used in the search action. Rearrangements are aligned at the J edge of the CDR3 region and matching is performed only on nucleotides that overlap (i.e., if one rearrangement is longer than the other, only the shared length is compared). The matching regions must be at least 25 bases long to be considered valid.</w:t>
      </w:r>
    </w:p>
    <w:p w14:paraId="03B65B79" w14:textId="1A0C5490" w:rsidR="003F0F31" w:rsidRDefault="003F0F31" w:rsidP="00283A99">
      <w:r>
        <w:rPr>
          <w:noProof/>
        </w:rPr>
        <w:lastRenderedPageBreak/>
        <w:drawing>
          <wp:inline distT="0" distB="0" distL="0" distR="0" wp14:anchorId="08328BE0" wp14:editId="77181121">
            <wp:extent cx="5467840" cy="3060700"/>
            <wp:effectExtent l="0" t="0" r="0" b="6350"/>
            <wp:docPr id="10902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9278" cy="3072700"/>
                    </a:xfrm>
                    <a:prstGeom prst="rect">
                      <a:avLst/>
                    </a:prstGeom>
                    <a:noFill/>
                  </pic:spPr>
                </pic:pic>
              </a:graphicData>
            </a:graphic>
          </wp:inline>
        </w:drawing>
      </w:r>
    </w:p>
    <w:p w14:paraId="2EA15677" w14:textId="631CD85E" w:rsidR="003F0F31" w:rsidRDefault="003F0F31" w:rsidP="003F0F31">
      <w:pPr>
        <w:pStyle w:val="ListParagraph"/>
        <w:numPr>
          <w:ilvl w:val="0"/>
          <w:numId w:val="10"/>
        </w:numPr>
      </w:pPr>
      <w:r>
        <w:t>When the track action is selected, sequences are shown from the selected repertoires that are either (a) marked as “Dx”</w:t>
      </w:r>
      <w:r w:rsidR="00F8087A">
        <w:t xml:space="preserve"> </w:t>
      </w:r>
      <w:r>
        <w:t xml:space="preserve">or (b) have abundance &gt;= 5% of locus. </w:t>
      </w:r>
    </w:p>
    <w:p w14:paraId="13BAB63E" w14:textId="0A88830C" w:rsidR="003F0F31" w:rsidRDefault="003F0F31" w:rsidP="003F0F31">
      <w:pPr>
        <w:pStyle w:val="ListParagraph"/>
        <w:numPr>
          <w:ilvl w:val="0"/>
          <w:numId w:val="10"/>
        </w:numPr>
      </w:pPr>
      <w:r>
        <w:t xml:space="preserve">Unique “Dx” rearrangements (i.e., those identified as dominant by the </w:t>
      </w:r>
      <w:proofErr w:type="spellStart"/>
      <w:r>
        <w:t>clonoSEQ</w:t>
      </w:r>
      <w:proofErr w:type="spellEnd"/>
      <w:r>
        <w:t xml:space="preserve"> pipeline) are selected by default, but the checkboxes can be used to follow other rearrangements of interest.</w:t>
      </w:r>
    </w:p>
    <w:p w14:paraId="62EE6D5E" w14:textId="7D238FE6" w:rsidR="003F0F31" w:rsidRDefault="003F0F31" w:rsidP="003F0F31">
      <w:pPr>
        <w:pStyle w:val="ListParagraph"/>
        <w:numPr>
          <w:ilvl w:val="0"/>
          <w:numId w:val="10"/>
        </w:numPr>
      </w:pPr>
      <w:r>
        <w:t>Clicking the “Go” button displays the tracking chart and table.</w:t>
      </w:r>
    </w:p>
    <w:p w14:paraId="391D6B66" w14:textId="5F832697" w:rsidR="003F0F31" w:rsidRDefault="00B64135" w:rsidP="003F0F31">
      <w:r>
        <w:rPr>
          <w:noProof/>
        </w:rPr>
        <w:drawing>
          <wp:inline distT="0" distB="0" distL="0" distR="0" wp14:anchorId="38BE0AFA" wp14:editId="032F99B8">
            <wp:extent cx="5542915" cy="3705816"/>
            <wp:effectExtent l="0" t="0" r="635" b="9525"/>
            <wp:docPr id="167421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7678" cy="3709001"/>
                    </a:xfrm>
                    <a:prstGeom prst="rect">
                      <a:avLst/>
                    </a:prstGeom>
                    <a:noFill/>
                  </pic:spPr>
                </pic:pic>
              </a:graphicData>
            </a:graphic>
          </wp:inline>
        </w:drawing>
      </w:r>
    </w:p>
    <w:p w14:paraId="11B895EC" w14:textId="64E63F7F" w:rsidR="003F0F31" w:rsidRDefault="00B64135" w:rsidP="003F0F31">
      <w:pPr>
        <w:pStyle w:val="ListParagraph"/>
        <w:numPr>
          <w:ilvl w:val="0"/>
          <w:numId w:val="11"/>
        </w:numPr>
      </w:pPr>
      <w:r>
        <w:lastRenderedPageBreak/>
        <w:t xml:space="preserve">The tracking table shows the abundance of each selected rearrangement in each selected repertoire. The color and letter in the “Label” column can be used to correlate this table with the chart above. </w:t>
      </w:r>
    </w:p>
    <w:p w14:paraId="683DD391" w14:textId="42A65C4C" w:rsidR="00B64135" w:rsidRDefault="00B64135" w:rsidP="003F0F31">
      <w:pPr>
        <w:pStyle w:val="ListParagraph"/>
        <w:numPr>
          <w:ilvl w:val="0"/>
          <w:numId w:val="11"/>
        </w:numPr>
      </w:pPr>
      <w:r>
        <w:t>The tracking chart displays the change of each rearrangement in abundance across the selected repertoires. The chart uses a log10 scale to help visualize large changes in these values.</w:t>
      </w:r>
    </w:p>
    <w:p w14:paraId="32AF106C" w14:textId="4D940BAF" w:rsidR="00BA0644" w:rsidRDefault="00BA0644" w:rsidP="00BA0644">
      <w:pPr>
        <w:pStyle w:val="Heading3"/>
      </w:pPr>
      <w:bookmarkStart w:id="13" w:name="_Toc180515932"/>
      <w:r>
        <w:t>Export</w:t>
      </w:r>
      <w:bookmarkEnd w:id="13"/>
    </w:p>
    <w:p w14:paraId="316D87CF" w14:textId="31248C3B" w:rsidR="00BA0644" w:rsidRDefault="00F50E5E" w:rsidP="00283A99">
      <w:r>
        <w:t xml:space="preserve">Use this action to </w:t>
      </w:r>
      <w:proofErr w:type="gramStart"/>
      <w:r>
        <w:t>safe</w:t>
      </w:r>
      <w:proofErr w:type="gramEnd"/>
      <w:r>
        <w:t xml:space="preserve"> a</w:t>
      </w:r>
      <w:r w:rsidR="00BA0644">
        <w:t xml:space="preserve"> repertoire </w:t>
      </w:r>
      <w:r>
        <w:t xml:space="preserve">file </w:t>
      </w:r>
      <w:r w:rsidR="00BA0644">
        <w:t xml:space="preserve">to your </w:t>
      </w:r>
      <w:r>
        <w:t>local computer:</w:t>
      </w:r>
    </w:p>
    <w:p w14:paraId="01669887" w14:textId="21C0C078" w:rsidR="00F50E5E" w:rsidRDefault="00F50E5E" w:rsidP="00F50E5E">
      <w:pPr>
        <w:pStyle w:val="ListParagraph"/>
        <w:numPr>
          <w:ilvl w:val="0"/>
          <w:numId w:val="9"/>
        </w:numPr>
      </w:pPr>
      <w:r>
        <w:t xml:space="preserve">“TSV” is exactly the file that was added to the VDJ tool </w:t>
      </w:r>
      <w:r w:rsidR="00B75D22">
        <w:t>by upload or import.</w:t>
      </w:r>
    </w:p>
    <w:p w14:paraId="6B7B72D3" w14:textId="6635BA5D" w:rsidR="00A52E27" w:rsidRDefault="00A52E27" w:rsidP="00F50E5E">
      <w:pPr>
        <w:pStyle w:val="ListParagraph"/>
        <w:numPr>
          <w:ilvl w:val="0"/>
          <w:numId w:val="9"/>
        </w:numPr>
      </w:pPr>
      <w:r>
        <w:t>“FASTA” is a FASTA-compliant field with one entry per sequence in the repertoire. Two versions are available to assist in mapping output using this file:</w:t>
      </w:r>
    </w:p>
    <w:p w14:paraId="1056AF53" w14:textId="061AA4E2" w:rsidR="00A52E27" w:rsidRDefault="00A52E27" w:rsidP="00A52E27">
      <w:pPr>
        <w:pStyle w:val="ListParagraph"/>
        <w:numPr>
          <w:ilvl w:val="1"/>
          <w:numId w:val="9"/>
        </w:numPr>
      </w:pPr>
      <w:r>
        <w:t>“</w:t>
      </w:r>
      <w:proofErr w:type="gramStart"/>
      <w:r>
        <w:t>by</w:t>
      </w:r>
      <w:proofErr w:type="gramEnd"/>
      <w:r>
        <w:t xml:space="preserve"> Row” sets the description for each sequence to a 0-based row number.</w:t>
      </w:r>
    </w:p>
    <w:p w14:paraId="02E27199" w14:textId="2BCABBCC" w:rsidR="00A52E27" w:rsidRPr="00573B62" w:rsidRDefault="00A52E27" w:rsidP="00A52E27">
      <w:pPr>
        <w:pStyle w:val="ListParagraph"/>
        <w:numPr>
          <w:ilvl w:val="1"/>
          <w:numId w:val="9"/>
        </w:numPr>
      </w:pPr>
      <w:r>
        <w:t>“</w:t>
      </w:r>
      <w:proofErr w:type="gramStart"/>
      <w:r>
        <w:t>by</w:t>
      </w:r>
      <w:proofErr w:type="gramEnd"/>
      <w:r>
        <w:t xml:space="preserve"> Hash” sets the description for each sequence to the SHA256 value of the sequence itself. </w:t>
      </w:r>
    </w:p>
    <w:sectPr w:rsidR="00A52E27" w:rsidRPr="00573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226"/>
    <w:multiLevelType w:val="hybridMultilevel"/>
    <w:tmpl w:val="3AD43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BB"/>
    <w:multiLevelType w:val="hybridMultilevel"/>
    <w:tmpl w:val="4CAE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71775"/>
    <w:multiLevelType w:val="hybridMultilevel"/>
    <w:tmpl w:val="32205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27E2"/>
    <w:multiLevelType w:val="hybridMultilevel"/>
    <w:tmpl w:val="A3EC0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B6C36"/>
    <w:multiLevelType w:val="hybridMultilevel"/>
    <w:tmpl w:val="2FD20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64433"/>
    <w:multiLevelType w:val="hybridMultilevel"/>
    <w:tmpl w:val="93906CB8"/>
    <w:lvl w:ilvl="0" w:tplc="A1C45D0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C6C"/>
    <w:multiLevelType w:val="hybridMultilevel"/>
    <w:tmpl w:val="ACEEA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11942"/>
    <w:multiLevelType w:val="hybridMultilevel"/>
    <w:tmpl w:val="C3ECA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D21EF6"/>
    <w:multiLevelType w:val="hybridMultilevel"/>
    <w:tmpl w:val="49D4D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31370"/>
    <w:multiLevelType w:val="hybridMultilevel"/>
    <w:tmpl w:val="0E8EB3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E54097"/>
    <w:multiLevelType w:val="hybridMultilevel"/>
    <w:tmpl w:val="5F62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3209889">
    <w:abstractNumId w:val="1"/>
  </w:num>
  <w:num w:numId="2" w16cid:durableId="9139835">
    <w:abstractNumId w:val="8"/>
  </w:num>
  <w:num w:numId="3" w16cid:durableId="1476527359">
    <w:abstractNumId w:val="6"/>
  </w:num>
  <w:num w:numId="4" w16cid:durableId="1145390253">
    <w:abstractNumId w:val="3"/>
  </w:num>
  <w:num w:numId="5" w16cid:durableId="2127698121">
    <w:abstractNumId w:val="9"/>
  </w:num>
  <w:num w:numId="6" w16cid:durableId="1001933145">
    <w:abstractNumId w:val="2"/>
  </w:num>
  <w:num w:numId="7" w16cid:durableId="206724199">
    <w:abstractNumId w:val="0"/>
  </w:num>
  <w:num w:numId="8" w16cid:durableId="1912962732">
    <w:abstractNumId w:val="5"/>
  </w:num>
  <w:num w:numId="9" w16cid:durableId="187454646">
    <w:abstractNumId w:val="4"/>
  </w:num>
  <w:num w:numId="10" w16cid:durableId="1092553130">
    <w:abstractNumId w:val="7"/>
  </w:num>
  <w:num w:numId="11" w16cid:durableId="17327743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45"/>
    <w:rsid w:val="00016823"/>
    <w:rsid w:val="0002228B"/>
    <w:rsid w:val="00036721"/>
    <w:rsid w:val="00044261"/>
    <w:rsid w:val="00056B87"/>
    <w:rsid w:val="00074D93"/>
    <w:rsid w:val="00082E9F"/>
    <w:rsid w:val="00093F35"/>
    <w:rsid w:val="000C2179"/>
    <w:rsid w:val="00106372"/>
    <w:rsid w:val="0017222F"/>
    <w:rsid w:val="001A0F54"/>
    <w:rsid w:val="001A43C5"/>
    <w:rsid w:val="001A55D6"/>
    <w:rsid w:val="001B778F"/>
    <w:rsid w:val="001D05B0"/>
    <w:rsid w:val="001F3404"/>
    <w:rsid w:val="001F3B0B"/>
    <w:rsid w:val="00216B42"/>
    <w:rsid w:val="0022276B"/>
    <w:rsid w:val="00247FDE"/>
    <w:rsid w:val="0025178B"/>
    <w:rsid w:val="002678D7"/>
    <w:rsid w:val="00270FAA"/>
    <w:rsid w:val="00271CC9"/>
    <w:rsid w:val="00275779"/>
    <w:rsid w:val="00282151"/>
    <w:rsid w:val="00283A99"/>
    <w:rsid w:val="0028423C"/>
    <w:rsid w:val="0028793D"/>
    <w:rsid w:val="0029409B"/>
    <w:rsid w:val="002A2C80"/>
    <w:rsid w:val="002B2EB5"/>
    <w:rsid w:val="002B3F13"/>
    <w:rsid w:val="002C0FF3"/>
    <w:rsid w:val="002C18C9"/>
    <w:rsid w:val="002C6078"/>
    <w:rsid w:val="002D2EDB"/>
    <w:rsid w:val="00306DFA"/>
    <w:rsid w:val="00307786"/>
    <w:rsid w:val="00372168"/>
    <w:rsid w:val="00375951"/>
    <w:rsid w:val="003C6E31"/>
    <w:rsid w:val="003D03D1"/>
    <w:rsid w:val="003D07BA"/>
    <w:rsid w:val="003D3646"/>
    <w:rsid w:val="003F0F31"/>
    <w:rsid w:val="003F52F0"/>
    <w:rsid w:val="00453B82"/>
    <w:rsid w:val="0045680D"/>
    <w:rsid w:val="004632DE"/>
    <w:rsid w:val="00490908"/>
    <w:rsid w:val="004A2198"/>
    <w:rsid w:val="004A7FD1"/>
    <w:rsid w:val="004B1F87"/>
    <w:rsid w:val="004C3E68"/>
    <w:rsid w:val="004F620E"/>
    <w:rsid w:val="005163D4"/>
    <w:rsid w:val="00517EA9"/>
    <w:rsid w:val="00530413"/>
    <w:rsid w:val="0056623A"/>
    <w:rsid w:val="00573B62"/>
    <w:rsid w:val="00585C3E"/>
    <w:rsid w:val="00590ECD"/>
    <w:rsid w:val="005A3908"/>
    <w:rsid w:val="005D0B5B"/>
    <w:rsid w:val="005D3988"/>
    <w:rsid w:val="005D5E5A"/>
    <w:rsid w:val="005D6438"/>
    <w:rsid w:val="005E671D"/>
    <w:rsid w:val="005F65F9"/>
    <w:rsid w:val="005F7B4F"/>
    <w:rsid w:val="00603BA2"/>
    <w:rsid w:val="00613693"/>
    <w:rsid w:val="00620B12"/>
    <w:rsid w:val="00621362"/>
    <w:rsid w:val="00641089"/>
    <w:rsid w:val="006432DA"/>
    <w:rsid w:val="006449D6"/>
    <w:rsid w:val="00662768"/>
    <w:rsid w:val="00664016"/>
    <w:rsid w:val="0067615E"/>
    <w:rsid w:val="00687C64"/>
    <w:rsid w:val="00687D6B"/>
    <w:rsid w:val="006B79CA"/>
    <w:rsid w:val="006C1993"/>
    <w:rsid w:val="006C63F0"/>
    <w:rsid w:val="006C6FB1"/>
    <w:rsid w:val="0071109A"/>
    <w:rsid w:val="00713559"/>
    <w:rsid w:val="0072276C"/>
    <w:rsid w:val="007302A9"/>
    <w:rsid w:val="0074097E"/>
    <w:rsid w:val="007611CE"/>
    <w:rsid w:val="007632E7"/>
    <w:rsid w:val="0076585A"/>
    <w:rsid w:val="007679C7"/>
    <w:rsid w:val="007D06FC"/>
    <w:rsid w:val="00806C2F"/>
    <w:rsid w:val="00851AE3"/>
    <w:rsid w:val="00854622"/>
    <w:rsid w:val="00856858"/>
    <w:rsid w:val="00862154"/>
    <w:rsid w:val="008720AC"/>
    <w:rsid w:val="008A2C99"/>
    <w:rsid w:val="008A52FA"/>
    <w:rsid w:val="008A69A7"/>
    <w:rsid w:val="008C2D1A"/>
    <w:rsid w:val="009012D0"/>
    <w:rsid w:val="0092013F"/>
    <w:rsid w:val="009500BA"/>
    <w:rsid w:val="00984A95"/>
    <w:rsid w:val="00984C2A"/>
    <w:rsid w:val="009913DC"/>
    <w:rsid w:val="00991C22"/>
    <w:rsid w:val="00997C53"/>
    <w:rsid w:val="009A4FBC"/>
    <w:rsid w:val="009A7379"/>
    <w:rsid w:val="00A06BE0"/>
    <w:rsid w:val="00A207CB"/>
    <w:rsid w:val="00A340C0"/>
    <w:rsid w:val="00A52E27"/>
    <w:rsid w:val="00A9666B"/>
    <w:rsid w:val="00AB3196"/>
    <w:rsid w:val="00AC4E1C"/>
    <w:rsid w:val="00AD3D48"/>
    <w:rsid w:val="00AE68A0"/>
    <w:rsid w:val="00B110AB"/>
    <w:rsid w:val="00B32EC8"/>
    <w:rsid w:val="00B52163"/>
    <w:rsid w:val="00B64135"/>
    <w:rsid w:val="00B75D22"/>
    <w:rsid w:val="00BA0644"/>
    <w:rsid w:val="00BA7F27"/>
    <w:rsid w:val="00BB345D"/>
    <w:rsid w:val="00BD68B3"/>
    <w:rsid w:val="00BE598B"/>
    <w:rsid w:val="00BF11D1"/>
    <w:rsid w:val="00BF36CD"/>
    <w:rsid w:val="00BF4E89"/>
    <w:rsid w:val="00C11F6B"/>
    <w:rsid w:val="00C15C62"/>
    <w:rsid w:val="00C5565A"/>
    <w:rsid w:val="00C5734B"/>
    <w:rsid w:val="00C575A5"/>
    <w:rsid w:val="00C93E52"/>
    <w:rsid w:val="00CB0D47"/>
    <w:rsid w:val="00CC2167"/>
    <w:rsid w:val="00CD02D5"/>
    <w:rsid w:val="00CD7853"/>
    <w:rsid w:val="00CF46EC"/>
    <w:rsid w:val="00D008EF"/>
    <w:rsid w:val="00D14E24"/>
    <w:rsid w:val="00D22445"/>
    <w:rsid w:val="00D26B02"/>
    <w:rsid w:val="00D4487B"/>
    <w:rsid w:val="00D60481"/>
    <w:rsid w:val="00D97A3E"/>
    <w:rsid w:val="00DA132C"/>
    <w:rsid w:val="00DB30AE"/>
    <w:rsid w:val="00DC3F2D"/>
    <w:rsid w:val="00DE3FFB"/>
    <w:rsid w:val="00DE5952"/>
    <w:rsid w:val="00E2747F"/>
    <w:rsid w:val="00E439C3"/>
    <w:rsid w:val="00E559D4"/>
    <w:rsid w:val="00E57978"/>
    <w:rsid w:val="00E62D38"/>
    <w:rsid w:val="00E71233"/>
    <w:rsid w:val="00E71E27"/>
    <w:rsid w:val="00E747E2"/>
    <w:rsid w:val="00E83D03"/>
    <w:rsid w:val="00E90DFA"/>
    <w:rsid w:val="00EB7FF0"/>
    <w:rsid w:val="00EF2488"/>
    <w:rsid w:val="00EF26C6"/>
    <w:rsid w:val="00F158FA"/>
    <w:rsid w:val="00F4204D"/>
    <w:rsid w:val="00F45B76"/>
    <w:rsid w:val="00F50E5E"/>
    <w:rsid w:val="00F530A6"/>
    <w:rsid w:val="00F62107"/>
    <w:rsid w:val="00F675C5"/>
    <w:rsid w:val="00F74EDF"/>
    <w:rsid w:val="00F75B31"/>
    <w:rsid w:val="00F8087A"/>
    <w:rsid w:val="00F9475E"/>
    <w:rsid w:val="00FB34E8"/>
    <w:rsid w:val="00FC7579"/>
    <w:rsid w:val="00FF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A118"/>
  <w15:chartTrackingRefBased/>
  <w15:docId w15:val="{4AECB466-3CAB-4087-B3CF-1A1D4709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372"/>
  </w:style>
  <w:style w:type="paragraph" w:styleId="Heading1">
    <w:name w:val="heading 1"/>
    <w:basedOn w:val="Normal"/>
    <w:next w:val="Normal"/>
    <w:link w:val="Heading1Char"/>
    <w:uiPriority w:val="9"/>
    <w:qFormat/>
    <w:rsid w:val="00D22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2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2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2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2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2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2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445"/>
    <w:rPr>
      <w:rFonts w:eastAsiaTheme="majorEastAsia" w:cstheme="majorBidi"/>
      <w:color w:val="272727" w:themeColor="text1" w:themeTint="D8"/>
    </w:rPr>
  </w:style>
  <w:style w:type="paragraph" w:styleId="Title">
    <w:name w:val="Title"/>
    <w:basedOn w:val="Normal"/>
    <w:next w:val="Normal"/>
    <w:link w:val="TitleChar"/>
    <w:uiPriority w:val="10"/>
    <w:qFormat/>
    <w:rsid w:val="00D22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2445"/>
    <w:rPr>
      <w:i/>
      <w:iCs/>
      <w:color w:val="404040" w:themeColor="text1" w:themeTint="BF"/>
    </w:rPr>
  </w:style>
  <w:style w:type="paragraph" w:styleId="ListParagraph">
    <w:name w:val="List Paragraph"/>
    <w:basedOn w:val="Normal"/>
    <w:uiPriority w:val="34"/>
    <w:qFormat/>
    <w:rsid w:val="00D22445"/>
    <w:pPr>
      <w:ind w:left="720"/>
      <w:contextualSpacing/>
    </w:pPr>
  </w:style>
  <w:style w:type="character" w:styleId="IntenseEmphasis">
    <w:name w:val="Intense Emphasis"/>
    <w:basedOn w:val="DefaultParagraphFont"/>
    <w:uiPriority w:val="21"/>
    <w:qFormat/>
    <w:rsid w:val="00D22445"/>
    <w:rPr>
      <w:i/>
      <w:iCs/>
      <w:color w:val="0F4761" w:themeColor="accent1" w:themeShade="BF"/>
    </w:rPr>
  </w:style>
  <w:style w:type="paragraph" w:styleId="IntenseQuote">
    <w:name w:val="Intense Quote"/>
    <w:basedOn w:val="Normal"/>
    <w:next w:val="Normal"/>
    <w:link w:val="IntenseQuoteChar"/>
    <w:uiPriority w:val="30"/>
    <w:qFormat/>
    <w:rsid w:val="00D22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445"/>
    <w:rPr>
      <w:i/>
      <w:iCs/>
      <w:color w:val="0F4761" w:themeColor="accent1" w:themeShade="BF"/>
    </w:rPr>
  </w:style>
  <w:style w:type="character" w:styleId="IntenseReference">
    <w:name w:val="Intense Reference"/>
    <w:basedOn w:val="DefaultParagraphFont"/>
    <w:uiPriority w:val="32"/>
    <w:qFormat/>
    <w:rsid w:val="00D22445"/>
    <w:rPr>
      <w:b/>
      <w:bCs/>
      <w:smallCaps/>
      <w:color w:val="0F4761" w:themeColor="accent1" w:themeShade="BF"/>
      <w:spacing w:val="5"/>
    </w:rPr>
  </w:style>
  <w:style w:type="character" w:styleId="Hyperlink">
    <w:name w:val="Hyperlink"/>
    <w:basedOn w:val="DefaultParagraphFont"/>
    <w:uiPriority w:val="99"/>
    <w:unhideWhenUsed/>
    <w:rsid w:val="00621362"/>
    <w:rPr>
      <w:color w:val="467886" w:themeColor="hyperlink"/>
      <w:u w:val="single"/>
    </w:rPr>
  </w:style>
  <w:style w:type="character" w:styleId="UnresolvedMention">
    <w:name w:val="Unresolved Mention"/>
    <w:basedOn w:val="DefaultParagraphFont"/>
    <w:uiPriority w:val="99"/>
    <w:semiHidden/>
    <w:unhideWhenUsed/>
    <w:rsid w:val="00621362"/>
    <w:rPr>
      <w:color w:val="605E5C"/>
      <w:shd w:val="clear" w:color="auto" w:fill="E1DFDD"/>
    </w:rPr>
  </w:style>
  <w:style w:type="character" w:styleId="FollowedHyperlink">
    <w:name w:val="FollowedHyperlink"/>
    <w:basedOn w:val="DefaultParagraphFont"/>
    <w:uiPriority w:val="99"/>
    <w:semiHidden/>
    <w:unhideWhenUsed/>
    <w:rsid w:val="004A7FD1"/>
    <w:rPr>
      <w:color w:val="96607D" w:themeColor="followedHyperlink"/>
      <w:u w:val="single"/>
    </w:rPr>
  </w:style>
  <w:style w:type="paragraph" w:styleId="TOCHeading">
    <w:name w:val="TOC Heading"/>
    <w:basedOn w:val="Heading1"/>
    <w:next w:val="Normal"/>
    <w:uiPriority w:val="39"/>
    <w:unhideWhenUsed/>
    <w:qFormat/>
    <w:rsid w:val="008C2D1A"/>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8C2D1A"/>
    <w:pPr>
      <w:spacing w:after="100"/>
      <w:ind w:left="220"/>
    </w:pPr>
  </w:style>
  <w:style w:type="paragraph" w:styleId="TOC3">
    <w:name w:val="toc 3"/>
    <w:basedOn w:val="Normal"/>
    <w:next w:val="Normal"/>
    <w:autoRedefine/>
    <w:uiPriority w:val="39"/>
    <w:unhideWhenUsed/>
    <w:rsid w:val="008C2D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94415">
      <w:bodyDiv w:val="1"/>
      <w:marLeft w:val="0"/>
      <w:marRight w:val="0"/>
      <w:marTop w:val="0"/>
      <w:marBottom w:val="0"/>
      <w:divBdr>
        <w:top w:val="none" w:sz="0" w:space="0" w:color="auto"/>
        <w:left w:val="none" w:sz="0" w:space="0" w:color="auto"/>
        <w:bottom w:val="none" w:sz="0" w:space="0" w:color="auto"/>
        <w:right w:val="none" w:sz="0" w:space="0" w:color="auto"/>
      </w:divBdr>
    </w:div>
    <w:div w:id="75131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epertoire.com/wp-content/uploads/2022/05/202205-iRweb-Data-Analysis-Guide.pdf"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anno/vdj" TargetMode="External"/><Relationship Id="rId12" Type="http://schemas.openxmlformats.org/officeDocument/2006/relationships/hyperlink" Target="https://clients.adaptivebiotech.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imgt.org/IMGT_vquest/input" TargetMode="External"/><Relationship Id="rId20" Type="http://schemas.openxmlformats.org/officeDocument/2006/relationships/hyperlink" Target="https://www.clonoseq.com/" TargetMode="External"/><Relationship Id="rId1" Type="http://schemas.openxmlformats.org/officeDocument/2006/relationships/numbering" Target="numbering.xml"/><Relationship Id="rId6" Type="http://schemas.openxmlformats.org/officeDocument/2006/relationships/hyperlink" Target="https://vdjtool.azurewebsites.net"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adaptivebiotech.com/"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daptiveagate.com/documentation" TargetMode="Externa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18826</TotalTime>
  <Pages>11</Pages>
  <Words>2154</Words>
  <Characters>12283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Nolan</dc:creator>
  <cp:keywords/>
  <dc:description/>
  <cp:lastModifiedBy>Sean Nolan</cp:lastModifiedBy>
  <cp:revision>183</cp:revision>
  <cp:lastPrinted>2024-10-23T01:58:00Z</cp:lastPrinted>
  <dcterms:created xsi:type="dcterms:W3CDTF">2024-09-05T02:01:00Z</dcterms:created>
  <dcterms:modified xsi:type="dcterms:W3CDTF">2024-10-23T01:58:00Z</dcterms:modified>
</cp:coreProperties>
</file>