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2E12F" w14:textId="77777777" w:rsidR="006773D0" w:rsidRDefault="00000000">
      <w:pPr>
        <w:spacing w:after="120"/>
        <w:jc w:val="center"/>
      </w:pPr>
      <w:r>
        <w:rPr>
          <w:b/>
          <w:bCs/>
          <w:color w:val="1E2761"/>
          <w:sz w:val="36"/>
          <w:szCs w:val="36"/>
        </w:rPr>
        <w:t>FAND TL1 Overview</w:t>
      </w:r>
    </w:p>
    <w:p w14:paraId="5892E130" w14:textId="77777777" w:rsidR="006773D0" w:rsidRDefault="00000000">
      <w:pPr>
        <w:spacing w:after="120"/>
        <w:jc w:val="center"/>
      </w:pPr>
      <w:r>
        <w:rPr>
          <w:color w:val="1E2761"/>
          <w:sz w:val="28"/>
          <w:szCs w:val="28"/>
        </w:rPr>
        <w:t>Presenter’s Script</w:t>
      </w:r>
    </w:p>
    <w:p w14:paraId="5892E131" w14:textId="77777777" w:rsidR="006773D0" w:rsidRDefault="00000000">
      <w:pPr>
        <w:pBdr>
          <w:bottom w:val="single" w:sz="6" w:space="8" w:color="1E2761"/>
        </w:pBdr>
        <w:spacing w:after="480"/>
        <w:jc w:val="center"/>
      </w:pPr>
      <w:r>
        <w:rPr>
          <w:i/>
          <w:iCs/>
          <w:color w:val="666666"/>
          <w:sz w:val="20"/>
          <w:szCs w:val="20"/>
        </w:rPr>
        <w:t>Extracted from FAND_TL1_Overview.pptx — May 2026</w:t>
      </w:r>
    </w:p>
    <w:p w14:paraId="5892E132" w14:textId="77777777" w:rsidR="006773D0" w:rsidRDefault="00000000">
      <w:pPr>
        <w:pBdr>
          <w:bottom w:val="single" w:sz="2" w:space="4" w:color="CADCFC"/>
        </w:pBdr>
        <w:spacing w:before="360" w:after="120"/>
      </w:pPr>
      <w:r>
        <w:rPr>
          <w:b/>
          <w:bCs/>
          <w:color w:val="2F80ED"/>
          <w:sz w:val="24"/>
          <w:szCs w:val="24"/>
        </w:rPr>
        <w:t xml:space="preserve">Slide 1: </w:t>
      </w:r>
      <w:r>
        <w:rPr>
          <w:b/>
          <w:bCs/>
          <w:color w:val="1E2761"/>
          <w:sz w:val="24"/>
          <w:szCs w:val="24"/>
        </w:rPr>
        <w:t>FAND — First Agentic Navigator for Development — TL1 National Overview</w:t>
      </w:r>
    </w:p>
    <w:p w14:paraId="5892E133" w14:textId="77777777" w:rsidR="006773D0" w:rsidRDefault="00000000">
      <w:pPr>
        <w:spacing w:before="120" w:after="240"/>
      </w:pPr>
      <w:r>
        <w:t>FAND is the First Agentic Navigator for Development. Technologically, it is the third generation of a lineage that began with a 1990 World Bank app called FIND. That meshed the indicators and concept hierarchy of WDI to a precursor of LLMs, which mapped them to wordy Country Briefs. OconEco’s SDRPrep/CSR QuickStart via Gaia Metrics (2013) was the second generation, designed mainly for better navigation of corporate sustainability reports and their metrics. This third generation, FAND, uses ai to reverse last century’s Hollerith Pivot. This presentation explains how that applies to the thin descriptions commonly employed in international comparisons, or TL1, for 207+ countries. It walks through the balance-sheet identity, what FAND compiles, coverage statistics, and policy signals.</w:t>
      </w:r>
    </w:p>
    <w:p w14:paraId="5892E134" w14:textId="77777777" w:rsidR="006773D0" w:rsidRDefault="00000000">
      <w:pPr>
        <w:pBdr>
          <w:bottom w:val="single" w:sz="2" w:space="4" w:color="CADCFC"/>
        </w:pBdr>
        <w:spacing w:before="360" w:after="120"/>
      </w:pPr>
      <w:r>
        <w:rPr>
          <w:b/>
          <w:bCs/>
          <w:color w:val="2F80ED"/>
          <w:sz w:val="24"/>
          <w:szCs w:val="24"/>
        </w:rPr>
        <w:t xml:space="preserve">Slide 2: </w:t>
      </w:r>
      <w:r>
        <w:rPr>
          <w:b/>
          <w:bCs/>
          <w:color w:val="1E2761"/>
          <w:sz w:val="24"/>
          <w:szCs w:val="24"/>
        </w:rPr>
        <w:t>A Source of Prosperity, Well-being, Joy</w:t>
      </w:r>
    </w:p>
    <w:p w14:paraId="5892E135" w14:textId="77777777" w:rsidR="006773D0" w:rsidRDefault="00000000">
      <w:pPr>
        <w:spacing w:before="120" w:after="240"/>
      </w:pPr>
      <w:r>
        <w:t>Commonwealth as wele (Middle English) = ‘a source of prosperity, well-being, joy’ – was the goal of America’s founders and the Bank’s 1995 Monitoring Environmental Progress (MEP). That is why the US Census reported on wealth for decades before income. The Hollerith Pivot (named for Herman Hollerith’s tabulating machine) was the historical shift that made quantitative measurement cheap and qualitative assessment (like gauging the “True Value” of Wealth) expensive. FAND reverses this by making the qualitative – harmonizing ‘local’ knowledge and considering fuzzy constructs like institutional quality, social infrastructure, trust – computationally tractable and balance-sheet visible. The 38-fold measurement asymmetry between rich/sparse and poor/dense regions, discussed in a separate presentation, is the deeper problem FAND addresses: rich countries have sparse populations but rich data; poor countries have dense populations but sparse data. FAND provides the solution. However, it must set the stage by showing how such a massive increase in granularity will be distilled for national decision makers.</w:t>
      </w:r>
    </w:p>
    <w:p w14:paraId="125ADFDD" w14:textId="77777777" w:rsidR="00463018" w:rsidRDefault="00463018" w:rsidP="00463018">
      <w:pPr>
        <w:pBdr>
          <w:bottom w:val="single" w:sz="2" w:space="4" w:color="CADCFC"/>
        </w:pBdr>
        <w:spacing w:before="360" w:after="120"/>
      </w:pPr>
      <w:r>
        <w:rPr>
          <w:b/>
          <w:bCs/>
          <w:color w:val="2F80ED"/>
          <w:sz w:val="24"/>
          <w:szCs w:val="24"/>
        </w:rPr>
        <w:t xml:space="preserve">Slide 3: </w:t>
      </w:r>
      <w:r>
        <w:rPr>
          <w:b/>
          <w:bCs/>
          <w:color w:val="1E2761"/>
          <w:sz w:val="24"/>
          <w:szCs w:val="24"/>
        </w:rPr>
        <w:t>What FAND Compiles: World Tables</w:t>
      </w:r>
    </w:p>
    <w:p w14:paraId="434AEF23" w14:textId="7ABCF7D9" w:rsidR="00463018" w:rsidRDefault="00463018" w:rsidP="00463018">
      <w:pPr>
        <w:spacing w:before="120" w:after="240"/>
      </w:pPr>
      <w:r>
        <w:t xml:space="preserve">World Tables </w:t>
      </w:r>
      <w:r w:rsidR="007D7814">
        <w:t xml:space="preserve">or WT </w:t>
      </w:r>
      <w:r>
        <w:t xml:space="preserve">are </w:t>
      </w:r>
      <w:r>
        <w:t>a</w:t>
      </w:r>
      <w:r>
        <w:t xml:space="preserve"> primary FAND data product – one per indicator, all countries as rows, years as columns. Balance Sheet WTs carry the identity chain: </w:t>
      </w:r>
      <w:r w:rsidR="0048634B">
        <w:t>de</w:t>
      </w:r>
      <w:r w:rsidR="00284181">
        <w:t>tailing</w:t>
      </w:r>
      <w:r w:rsidR="007D7814">
        <w:t xml:space="preserve"> Commonwealth or </w:t>
      </w:r>
      <w:r>
        <w:t>CW, PA, NC Total, RW, HR, SR (Substantive Rights ~ TFP analogue), DM (Deferred Maintenance of SR), Net Worth, and two demographic WTs. NC has 52 WTs: 3 fossil fuels (oil, gas, coal), 31 individual minerals from USGS MCS, fisheries from FAO, agland split into farmland + grazingland, forest timber split into industrial roundwood + fuelwood, forest cover (severance tithe), plus ES items (mangroves, hydropower) under Other Substantive Rights, plus rollup WTs at each aggregation level. Cross-Border has 15 WTs: parent with 5 Hohfeldian-institutional children on each side, plus BEA bilateral sub-detail and Non-US FDI residual.</w:t>
      </w:r>
    </w:p>
    <w:p w14:paraId="44C9F222" w14:textId="77777777" w:rsidR="00463018" w:rsidRDefault="00463018">
      <w:pPr>
        <w:spacing w:before="120" w:after="240"/>
      </w:pPr>
    </w:p>
    <w:p w14:paraId="5892E136" w14:textId="319827B1" w:rsidR="006773D0" w:rsidRDefault="00000000">
      <w:pPr>
        <w:pBdr>
          <w:bottom w:val="single" w:sz="2" w:space="4" w:color="CADCFC"/>
        </w:pBdr>
        <w:spacing w:before="360" w:after="120"/>
      </w:pPr>
      <w:r>
        <w:rPr>
          <w:b/>
          <w:bCs/>
          <w:color w:val="2F80ED"/>
          <w:sz w:val="24"/>
          <w:szCs w:val="24"/>
        </w:rPr>
        <w:lastRenderedPageBreak/>
        <w:t xml:space="preserve">Slide </w:t>
      </w:r>
      <w:r w:rsidR="002067C9">
        <w:rPr>
          <w:b/>
          <w:bCs/>
          <w:color w:val="2F80ED"/>
          <w:sz w:val="24"/>
          <w:szCs w:val="24"/>
        </w:rPr>
        <w:t>4</w:t>
      </w:r>
      <w:r>
        <w:rPr>
          <w:b/>
          <w:bCs/>
          <w:color w:val="2F80ED"/>
          <w:sz w:val="24"/>
          <w:szCs w:val="24"/>
        </w:rPr>
        <w:t xml:space="preserve">: </w:t>
      </w:r>
      <w:r>
        <w:rPr>
          <w:b/>
          <w:bCs/>
          <w:color w:val="1E2761"/>
          <w:sz w:val="24"/>
          <w:szCs w:val="24"/>
        </w:rPr>
        <w:t>Balance-Sheet Compilation</w:t>
      </w:r>
    </w:p>
    <w:p w14:paraId="5892E137" w14:textId="77777777" w:rsidR="006773D0" w:rsidRDefault="00000000">
      <w:pPr>
        <w:spacing w:before="120" w:after="240"/>
      </w:pPr>
      <w:r>
        <w:t>With two intermediate residuals, components are computed from primary sources: say PA from OECD 9B + PIM backdate (243 countries), NC from EIA/USGS/FAO/Energy Institute/FRA (5 branches: fossil fuels, minerals, agland, forest timber, fisheries), HR from international cross-country regression of ln(RW) on Mean Years of Schooling (MYS) and Life Expectancy (LE). SI as residual split so SR = max(SI, 0.20*CW) as the TFP analogue; DM = max(0, 0.20*CW - SI) is the trust-infrastructure deficit. NW extends CW with two per-side cross-border stocks (Gross Foreign Assets 1.1.1.4 and Gross Foreign Liabilities 1.2.3) observed independently via IMF IIP / LM-EWN / WID. There is a Hohfeldian classification simplified as SNA and such measure Claim-Rights and Duties, comprising PA, NC, and Cross-Border accounts. FAND recognizes and values his other jural correlatives as Substantive Rights. HR involves first-order Privilege (liberty of labor) while SR is mixed second-order Power/Immunity. Since what gets monitored gets managed, the greatest risk of deferred maintenance is to SI.</w:t>
      </w:r>
    </w:p>
    <w:p w14:paraId="5892E13A" w14:textId="77777777" w:rsidR="006773D0" w:rsidRDefault="00000000">
      <w:pPr>
        <w:pBdr>
          <w:bottom w:val="single" w:sz="2" w:space="4" w:color="CADCFC"/>
        </w:pBdr>
        <w:spacing w:before="360" w:after="120"/>
      </w:pPr>
      <w:r>
        <w:rPr>
          <w:b/>
          <w:bCs/>
          <w:color w:val="2F80ED"/>
          <w:sz w:val="24"/>
          <w:szCs w:val="24"/>
        </w:rPr>
        <w:t xml:space="preserve">Slide 5: </w:t>
      </w:r>
      <w:r>
        <w:rPr>
          <w:b/>
          <w:bCs/>
          <w:color w:val="1E2761"/>
          <w:sz w:val="24"/>
          <w:szCs w:val="24"/>
        </w:rPr>
        <w:t>What Is a Country Worth?</w:t>
      </w:r>
    </w:p>
    <w:p w14:paraId="5892E13B" w14:textId="77777777" w:rsidR="006773D0" w:rsidRDefault="00000000">
      <w:pPr>
        <w:spacing w:before="120" w:after="240"/>
      </w:pPr>
      <w:r>
        <w:t>The Bank’s 1995 MEP first asked, ‘What is a country worth?’ and pioneered Wealth metrics, which devolved into its 2024 Changing Wealth of Nations, or CWoN. FAND computes everything independently but uses CWoN for cross-validation, not as a production input. Three key numbers: 207 countries where FAND estimates CommonWealth or CW, with 188 nodes in its What hierarchy (including 38 commodity leaf children), 70 constructs currently fully included populated, meaning not only recognized (by Quantities or Qs) but valued in V tabs that travel well across time and place.</w:t>
      </w:r>
    </w:p>
    <w:p w14:paraId="5892E13C" w14:textId="77777777" w:rsidR="006773D0" w:rsidRDefault="00000000">
      <w:pPr>
        <w:pBdr>
          <w:bottom w:val="single" w:sz="2" w:space="4" w:color="CADCFC"/>
        </w:pBdr>
        <w:spacing w:before="360" w:after="120"/>
      </w:pPr>
      <w:r>
        <w:rPr>
          <w:b/>
          <w:bCs/>
          <w:color w:val="2F80ED"/>
          <w:sz w:val="24"/>
          <w:szCs w:val="24"/>
        </w:rPr>
        <w:t xml:space="preserve">Slide 6: </w:t>
      </w:r>
      <w:r>
        <w:rPr>
          <w:b/>
          <w:bCs/>
          <w:color w:val="1E2761"/>
          <w:sz w:val="24"/>
          <w:szCs w:val="24"/>
        </w:rPr>
        <w:t>Database Coverage: V-Tab Observations</w:t>
      </w:r>
    </w:p>
    <w:p w14:paraId="5892E13D" w14:textId="77777777" w:rsidR="006773D0" w:rsidRDefault="00000000">
      <w:pPr>
        <w:spacing w:before="120" w:after="240"/>
      </w:pPr>
      <w:r>
        <w:t>This coverage slide is derived from programmatic scan of all 78 World Table xlsx files. It only counts countries with non-zero data in V (valuation) tabs – the tab that carries the balance-sheet entry and aggregates up the concept hierarchy. Population leads at 237 countries (WPP universe), NC Total at 236 (IndefiniteLongLived rollup), Fisheries at 230. Cross-border parent constructs cover 195 countries (IMF IIP + LM-EWN + WID era-aware splice). Fossil fuels at 124 reflects the subset with production data (oil 103, gas 103, coal 88). Mangroves at 109 is the narrowest – only coastal countries with mangrove ecosystems. One gap: Magnesium Compounds has no V tab in its WT file. The 188 hierarchy nodes include 38 commodity leaf children now numbered as formal What codes: 3 fossil fuels (1.1.1.3.1.1.1.1-3: oil/gas/coal), 31 minerals (1.1.1.3.1.1.2.1-31), 2 agland (1.1.1.3.2.1.2.1-2: farmland/grazingland), 2 timber (1.1.1.3.2.2.2.1-2: IR/fuelwood). Gold has the widest mineral coverage at 120 countries with V-tab data; Garnet the narrowest at 7.</w:t>
      </w:r>
    </w:p>
    <w:p w14:paraId="5892E13E" w14:textId="77777777" w:rsidR="006773D0" w:rsidRDefault="00000000">
      <w:pPr>
        <w:pBdr>
          <w:bottom w:val="single" w:sz="2" w:space="4" w:color="CADCFC"/>
        </w:pBdr>
        <w:spacing w:before="360" w:after="120"/>
      </w:pPr>
      <w:r>
        <w:rPr>
          <w:b/>
          <w:bCs/>
          <w:color w:val="2F80ED"/>
          <w:sz w:val="24"/>
          <w:szCs w:val="24"/>
        </w:rPr>
        <w:t xml:space="preserve">Slide 7: </w:t>
      </w:r>
      <w:r>
        <w:rPr>
          <w:b/>
          <w:bCs/>
          <w:color w:val="1E2761"/>
          <w:sz w:val="24"/>
          <w:szCs w:val="24"/>
        </w:rPr>
        <w:t>Natural Capital: Three-Halo Valuation</w:t>
      </w:r>
    </w:p>
    <w:p w14:paraId="5892E13F" w14:textId="77777777" w:rsidR="006773D0" w:rsidRDefault="00000000">
      <w:pPr>
        <w:spacing w:before="120" w:after="240"/>
      </w:pPr>
      <w:r>
        <w:t xml:space="preserve">Three-halo valuation is the core NC methodology. Halo 1 (V=PxQ) captures the annual flow – what was extracted and sold at market prices. Halo 2 (V=PxR) captures the stock – what remains underground at current prices, using USGS reserves data and backcast estimates. Halo 3 (Severance = 10% of V(R)) is the balance-sheet entry – a universal placeholder for the sovereign’s rent claim on natural resource extraction. The 10% rate is empirically calibrated: V(sev)/CWoN approximately equals 1.0 for oil across 1995-2020, meaning the severance estimate closely matches CWoN’s rent-capitalization approach. CWoN itself uses a fourth halo (capitalized rents with T=20 or T=100) which FAND treats as cross-validation only. NC has </w:t>
      </w:r>
      <w:r>
        <w:lastRenderedPageBreak/>
        <w:t>exactly 5 branches under first-order claim-rights: fossil fuels, minerals, agricultural land, forest timber, fisheries. Mangroves and hydropower are NOT NC – they are Privileges (liberty to use), not claim-rights (right to sever), and sit under Other Substantive Rights (1.1.2.2) with nc_aggregation=false.</w:t>
      </w:r>
    </w:p>
    <w:p w14:paraId="5892E140" w14:textId="77777777" w:rsidR="006773D0" w:rsidRDefault="00000000">
      <w:pPr>
        <w:pBdr>
          <w:bottom w:val="single" w:sz="2" w:space="4" w:color="CADCFC"/>
        </w:pBdr>
        <w:spacing w:before="360" w:after="120"/>
      </w:pPr>
      <w:r>
        <w:rPr>
          <w:b/>
          <w:bCs/>
          <w:color w:val="2F80ED"/>
          <w:sz w:val="24"/>
          <w:szCs w:val="24"/>
        </w:rPr>
        <w:t xml:space="preserve">Slide 8: </w:t>
      </w:r>
      <w:r>
        <w:rPr>
          <w:b/>
          <w:bCs/>
          <w:color w:val="1E2761"/>
          <w:sz w:val="24"/>
          <w:szCs w:val="24"/>
        </w:rPr>
        <w:t>SR and DM: The Policy Signal</w:t>
      </w:r>
    </w:p>
    <w:p w14:paraId="5892E141" w14:textId="77777777" w:rsidR="006773D0" w:rsidRDefault="00000000">
      <w:pPr>
        <w:spacing w:before="120" w:after="240"/>
      </w:pPr>
      <w:r>
        <w:t>SR and DM decompose the SI residual within CW. SR = max(SI, 0.20*CW) implies every economy requires some investment in how individuals collaborate and compete – society gets credit for positive institutional capital even when measured SI is negative (institutional drag). This is the balance-sheet analogue of TFP – the unexplained productive capacity beyond physical and human capital. SR’s children include ‘Free’ services of nature (ecosystem services like mangroves and hydropower, classified as Privileges under Hohfeldian framework, excluded from NC via nc_aggregation=false) and ‘Free’ trust infrastructure (institutional quality, rule of law, social cohesion). DM = max(0, 0.20*CW - SI) is the liability side – the trust-infrastructure deficit. 96 of 194 countries have floor-binding DM in 2020, meaning their SI falls below 20% of CW. DM translates to a risk premium in advocacy terms: these are nations where private markets cannot find adequate collateral, and the Bank’s intermediation – pooling risk for places without it – maps directly onto DM. The policy directive: invest in how people collaborate and compete before buying more produced assets.</w:t>
      </w:r>
    </w:p>
    <w:p w14:paraId="5892E142" w14:textId="77777777" w:rsidR="006773D0" w:rsidRDefault="00000000">
      <w:pPr>
        <w:pBdr>
          <w:bottom w:val="single" w:sz="2" w:space="4" w:color="CADCFC"/>
        </w:pBdr>
        <w:spacing w:before="360" w:after="120"/>
      </w:pPr>
      <w:r>
        <w:rPr>
          <w:b/>
          <w:bCs/>
          <w:color w:val="2F80ED"/>
          <w:sz w:val="24"/>
          <w:szCs w:val="24"/>
        </w:rPr>
        <w:t xml:space="preserve">Slide 9: </w:t>
      </w:r>
      <w:r>
        <w:rPr>
          <w:b/>
          <w:bCs/>
          <w:color w:val="1E2761"/>
          <w:sz w:val="24"/>
          <w:szCs w:val="24"/>
        </w:rPr>
        <w:t>Cross-Border: Per-Side Architecture</w:t>
      </w:r>
    </w:p>
    <w:p w14:paraId="5892E143" w14:textId="77777777" w:rsidR="006773D0" w:rsidRDefault="00000000">
      <w:pPr>
        <w:spacing w:before="120" w:after="240"/>
      </w:pPr>
      <w:r>
        <w:t>Cross-border extends CW to Net Worth via two independent per-side stocks. The previous NIIP-centered framing (OG-007 section 9) was excised S220 – no single NIIP node exists. Each side is directly observed: Tier-A (IMF IIP 2005-), Tier-B (Lane-Milesi-Ferretti EWN 1970-2004), Tier-E (WID ratio-splice 1950-1969). Five Hohfeldian-institutional children on each side capture which institutional sector carries which jural position: Via Domestic Financial System (depository only: CBS+ODCS, S121+S122; OFI excised BT-042), Sovereign Direct Credit / Sovereign Debt, Nonbank-Banks (BIS LBS), FDI Global (IIP DI parent), All-Other (residual). BEA bilateral sub-detail and Non-US FDI residual are further children under FDI. Country-Page render layer may display a derived memo row ‘External position (net) = 1.1.1.4 - 1.2.3’ but that is display-only, not a hierarchy node. Coverage: 195 countries at parent level, Nonbank-Banks widest at 218 (BIS LBS reporting network).</w:t>
      </w:r>
    </w:p>
    <w:p w14:paraId="5892E144" w14:textId="77777777" w:rsidR="006773D0" w:rsidRDefault="00000000">
      <w:pPr>
        <w:pBdr>
          <w:bottom w:val="single" w:sz="2" w:space="4" w:color="CADCFC"/>
        </w:pBdr>
        <w:spacing w:before="360" w:after="120"/>
      </w:pPr>
      <w:r>
        <w:rPr>
          <w:b/>
          <w:bCs/>
          <w:color w:val="2F80ED"/>
          <w:sz w:val="24"/>
          <w:szCs w:val="24"/>
        </w:rPr>
        <w:t xml:space="preserve">Slide 10: </w:t>
      </w:r>
      <w:r>
        <w:rPr>
          <w:b/>
          <w:bCs/>
          <w:color w:val="1E2761"/>
          <w:sz w:val="24"/>
          <w:szCs w:val="24"/>
        </w:rPr>
        <w:t>Concordance Layer</w:t>
      </w:r>
    </w:p>
    <w:p w14:paraId="5892E145" w14:textId="77777777" w:rsidR="006773D0" w:rsidRDefault="00000000">
      <w:pPr>
        <w:spacing w:before="120" w:after="240"/>
      </w:pPr>
      <w:r>
        <w:t>The concordance layer is a mapping exercise – how do existing indicator databases (WDI’s 1,595 indicators, WGI’s 36, ESG’s 67, ID4D’s 54) relate to FAND’s What hierarchy? This is distinct from what FAND produces. The concordance helps identify: (a) where FAND’s own estimates can be cross-validated against external sources, (b) where the What hierarchy has coverage gaps, and (c) how existing ‘roll-up’ counts should be interpreted. The key point: concordance counts are NOT FAND production counts. FAND produces 78 World Tables from primary sources; the concordance maps thousands of external indicators to the same hierarchy for reference. The previous version of this deck conflated concordance mappings with database contents – the ‘Trust Infrastructure: 252’ number was a concordance roll-up, not a FAND product count.</w:t>
      </w:r>
    </w:p>
    <w:p w14:paraId="5892E146" w14:textId="77777777" w:rsidR="006773D0" w:rsidRDefault="00000000">
      <w:pPr>
        <w:pBdr>
          <w:bottom w:val="single" w:sz="2" w:space="4" w:color="CADCFC"/>
        </w:pBdr>
        <w:spacing w:before="360" w:after="120"/>
      </w:pPr>
      <w:r>
        <w:rPr>
          <w:b/>
          <w:bCs/>
          <w:color w:val="2F80ED"/>
          <w:sz w:val="24"/>
          <w:szCs w:val="24"/>
        </w:rPr>
        <w:t xml:space="preserve">Slide 11: </w:t>
      </w:r>
      <w:r>
        <w:rPr>
          <w:b/>
          <w:bCs/>
          <w:color w:val="1E2761"/>
          <w:sz w:val="24"/>
          <w:szCs w:val="24"/>
        </w:rPr>
        <w:t>Proof-of-Concept for TL2 and TL3</w:t>
      </w:r>
    </w:p>
    <w:p w14:paraId="5892E147" w14:textId="77777777" w:rsidR="006773D0" w:rsidRDefault="00000000">
      <w:pPr>
        <w:spacing w:before="120" w:after="240"/>
      </w:pPr>
      <w:r>
        <w:lastRenderedPageBreak/>
        <w:t>In closing, FAND aims to go finer grain in terms of units of observation. Nations are incommensurate units of observation and analysis, except perhaps regarding UN votes. A separate presentation gets into detail. When fully developed, FAND will permit matched model testing with units of observation comprising roughly similar number of residents, having decomposed nations to where units are no larger than today’s median nation. Work has begun on a US proof of concept. A scoping exercise suggests adding EU nations will be a manageable extension.</w:t>
      </w:r>
    </w:p>
    <w:sectPr w:rsidR="006773D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68DB08" w14:textId="77777777" w:rsidR="00EA5AD4" w:rsidRDefault="00EA5AD4">
      <w:r>
        <w:separator/>
      </w:r>
    </w:p>
  </w:endnote>
  <w:endnote w:type="continuationSeparator" w:id="0">
    <w:p w14:paraId="4F874F1E" w14:textId="77777777" w:rsidR="00EA5AD4" w:rsidRDefault="00EA5A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2E149" w14:textId="3F50A5B7" w:rsidR="006773D0" w:rsidRDefault="00000000">
    <w:pPr>
      <w:jc w:val="center"/>
    </w:pPr>
    <w:r>
      <w:rPr>
        <w:color w:val="999999"/>
        <w:sz w:val="16"/>
        <w:szCs w:val="16"/>
      </w:rPr>
      <w:t xml:space="preserve">OconEco — Page </w:t>
    </w:r>
    <w:r>
      <w:rPr>
        <w:color w:val="999999"/>
        <w:sz w:val="16"/>
        <w:szCs w:val="16"/>
      </w:rPr>
      <w:fldChar w:fldCharType="begin"/>
    </w:r>
    <w:r>
      <w:rPr>
        <w:color w:val="999999"/>
        <w:sz w:val="16"/>
        <w:szCs w:val="16"/>
      </w:rPr>
      <w:instrText>PAGE</w:instrText>
    </w:r>
    <w:r>
      <w:rPr>
        <w:color w:val="999999"/>
        <w:sz w:val="16"/>
        <w:szCs w:val="16"/>
      </w:rPr>
      <w:fldChar w:fldCharType="separate"/>
    </w:r>
    <w:r w:rsidR="00463018">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F4CD61" w14:textId="77777777" w:rsidR="00EA5AD4" w:rsidRDefault="00EA5AD4">
      <w:r>
        <w:separator/>
      </w:r>
    </w:p>
  </w:footnote>
  <w:footnote w:type="continuationSeparator" w:id="0">
    <w:p w14:paraId="476DDAFF" w14:textId="77777777" w:rsidR="00EA5AD4" w:rsidRDefault="00EA5A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2E148" w14:textId="77777777" w:rsidR="006773D0" w:rsidRDefault="00000000">
    <w:pPr>
      <w:jc w:val="right"/>
    </w:pPr>
    <w:r>
      <w:rPr>
        <w:i/>
        <w:iCs/>
        <w:color w:val="999999"/>
        <w:sz w:val="16"/>
        <w:szCs w:val="16"/>
      </w:rPr>
      <w:t>FAND TL1 Overview — Presenter’s Script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540CA"/>
    <w:multiLevelType w:val="hybridMultilevel"/>
    <w:tmpl w:val="96B88202"/>
    <w:lvl w:ilvl="0" w:tplc="18A036B8">
      <w:start w:val="1"/>
      <w:numFmt w:val="bullet"/>
      <w:lvlText w:val="●"/>
      <w:lvlJc w:val="left"/>
      <w:pPr>
        <w:ind w:left="720" w:hanging="360"/>
      </w:pPr>
    </w:lvl>
    <w:lvl w:ilvl="1" w:tplc="B5BC97A8">
      <w:start w:val="1"/>
      <w:numFmt w:val="bullet"/>
      <w:lvlText w:val="○"/>
      <w:lvlJc w:val="left"/>
      <w:pPr>
        <w:ind w:left="1440" w:hanging="360"/>
      </w:pPr>
    </w:lvl>
    <w:lvl w:ilvl="2" w:tplc="7494EF90">
      <w:start w:val="1"/>
      <w:numFmt w:val="bullet"/>
      <w:lvlText w:val="■"/>
      <w:lvlJc w:val="left"/>
      <w:pPr>
        <w:ind w:left="2160" w:hanging="360"/>
      </w:pPr>
    </w:lvl>
    <w:lvl w:ilvl="3" w:tplc="E5D0E6EA">
      <w:start w:val="1"/>
      <w:numFmt w:val="bullet"/>
      <w:lvlText w:val="●"/>
      <w:lvlJc w:val="left"/>
      <w:pPr>
        <w:ind w:left="2880" w:hanging="360"/>
      </w:pPr>
    </w:lvl>
    <w:lvl w:ilvl="4" w:tplc="5EBCA5D4">
      <w:start w:val="1"/>
      <w:numFmt w:val="bullet"/>
      <w:lvlText w:val="○"/>
      <w:lvlJc w:val="left"/>
      <w:pPr>
        <w:ind w:left="3600" w:hanging="360"/>
      </w:pPr>
    </w:lvl>
    <w:lvl w:ilvl="5" w:tplc="513248C0">
      <w:start w:val="1"/>
      <w:numFmt w:val="bullet"/>
      <w:lvlText w:val="■"/>
      <w:lvlJc w:val="left"/>
      <w:pPr>
        <w:ind w:left="4320" w:hanging="360"/>
      </w:pPr>
    </w:lvl>
    <w:lvl w:ilvl="6" w:tplc="443E5770">
      <w:start w:val="1"/>
      <w:numFmt w:val="bullet"/>
      <w:lvlText w:val="●"/>
      <w:lvlJc w:val="left"/>
      <w:pPr>
        <w:ind w:left="5040" w:hanging="360"/>
      </w:pPr>
    </w:lvl>
    <w:lvl w:ilvl="7" w:tplc="F7FE979E">
      <w:start w:val="1"/>
      <w:numFmt w:val="bullet"/>
      <w:lvlText w:val="●"/>
      <w:lvlJc w:val="left"/>
      <w:pPr>
        <w:ind w:left="5760" w:hanging="360"/>
      </w:pPr>
    </w:lvl>
    <w:lvl w:ilvl="8" w:tplc="22BABBD0">
      <w:start w:val="1"/>
      <w:numFmt w:val="bullet"/>
      <w:lvlText w:val="●"/>
      <w:lvlJc w:val="left"/>
      <w:pPr>
        <w:ind w:left="6480" w:hanging="360"/>
      </w:pPr>
    </w:lvl>
  </w:abstractNum>
  <w:num w:numId="1" w16cid:durableId="655411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73D0"/>
    <w:rsid w:val="002067C9"/>
    <w:rsid w:val="00284181"/>
    <w:rsid w:val="00463018"/>
    <w:rsid w:val="0048634B"/>
    <w:rsid w:val="006773D0"/>
    <w:rsid w:val="006D7757"/>
    <w:rsid w:val="007D7814"/>
    <w:rsid w:val="00EA5A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2E12F"/>
  <w15:docId w15:val="{4B3D5F7F-3543-4248-9774-8034C89EF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1570</Words>
  <Characters>8954</Characters>
  <Application>Microsoft Office Word</Application>
  <DocSecurity>0</DocSecurity>
  <Lines>74</Lines>
  <Paragraphs>21</Paragraphs>
  <ScaleCrop>false</ScaleCrop>
  <Company/>
  <LinksUpToDate>false</LinksUpToDate>
  <CharactersWithSpaces>10503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John O'Connor</cp:lastModifiedBy>
  <cp:revision>6</cp:revision>
  <dcterms:created xsi:type="dcterms:W3CDTF">2026-05-06T15:17:00Z</dcterms:created>
  <dcterms:modified xsi:type="dcterms:W3CDTF">2026-05-06T17:11:00Z</dcterms:modified>
</cp:coreProperties>
</file>