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E5237" w14:paraId="32378472" w14:textId="77777777">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2378470" w14:textId="77777777" w:rsidR="003E5237" w:rsidRDefault="00000000">
            <w:r>
              <w:rPr>
                <w:b/>
                <w:bCs/>
              </w:rPr>
              <w:t>Document ID</w:t>
            </w:r>
          </w:p>
        </w:tc>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2378471" w14:textId="77777777" w:rsidR="003E5237" w:rsidRDefault="00000000">
            <w:r>
              <w:t>OG-001</w:t>
            </w:r>
          </w:p>
        </w:tc>
      </w:tr>
      <w:tr w:rsidR="003E5237" w14:paraId="32378475"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3" w14:textId="77777777" w:rsidR="003E5237" w:rsidRDefault="00000000">
            <w:r>
              <w:rPr>
                <w:b/>
                <w:bCs/>
              </w:rPr>
              <w:t>Version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4" w14:textId="77777777" w:rsidR="003E5237" w:rsidRDefault="00000000">
            <w:r>
              <w:t>2.3</w:t>
            </w:r>
          </w:p>
        </w:tc>
      </w:tr>
      <w:tr w:rsidR="003E5237" w14:paraId="32378478"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6" w14:textId="77777777" w:rsidR="003E5237" w:rsidRDefault="00000000">
            <w:r>
              <w:rPr>
                <w:b/>
                <w:bCs/>
              </w:rPr>
              <w:t>Title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7" w14:textId="77777777" w:rsidR="003E5237" w:rsidRDefault="00000000">
            <w:r>
              <w:t>Classification of What Indicators for Human Activity</w:t>
            </w:r>
          </w:p>
        </w:tc>
      </w:tr>
      <w:tr w:rsidR="003E5237" w14:paraId="3237847B"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9" w14:textId="77777777" w:rsidR="003E5237" w:rsidRDefault="00000000">
            <w:r>
              <w:rPr>
                <w:b/>
                <w:bCs/>
              </w:rPr>
              <w:t>Date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A" w14:textId="77777777" w:rsidR="003E5237" w:rsidRDefault="00000000">
            <w:r>
              <w:t>6 March 2026</w:t>
            </w:r>
          </w:p>
        </w:tc>
      </w:tr>
      <w:tr w:rsidR="003E5237" w14:paraId="3237847E"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C" w14:textId="77777777" w:rsidR="003E5237" w:rsidRDefault="00000000">
            <w:r>
              <w:rPr>
                <w:b/>
                <w:bCs/>
              </w:rPr>
              <w:t>Series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D" w14:textId="77777777" w:rsidR="003E5237" w:rsidRDefault="00000000">
            <w:r>
              <w:t>Operational Guidelines</w:t>
            </w:r>
          </w:p>
        </w:tc>
      </w:tr>
      <w:tr w:rsidR="003E5237" w14:paraId="32378481"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7F" w14:textId="77777777" w:rsidR="003E5237" w:rsidRDefault="00000000">
            <w:r>
              <w:rPr>
                <w:b/>
                <w:bCs/>
              </w:rPr>
              <w:t>Status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80" w14:textId="77777777" w:rsidR="003E5237" w:rsidRDefault="00000000">
            <w:r>
              <w:t>Active</w:t>
            </w:r>
          </w:p>
        </w:tc>
      </w:tr>
      <w:tr w:rsidR="003E5237" w14:paraId="32378484"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82" w14:textId="77777777" w:rsidR="003E5237" w:rsidRDefault="00000000">
            <w:r>
              <w:rPr>
                <w:b/>
                <w:bCs/>
              </w:rPr>
              <w:t>Supersedes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83" w14:textId="77777777" w:rsidR="003E5237" w:rsidRDefault="00000000">
            <w:r>
              <w:t>OG-001 v2.2 (same date)</w:t>
            </w:r>
          </w:p>
        </w:tc>
      </w:tr>
      <w:tr w:rsidR="003E5237" w14:paraId="32378487" w14:textId="77777777">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85" w14:textId="77777777" w:rsidR="003E5237" w:rsidRDefault="00000000">
            <w:r>
              <w:rPr>
                <w:b/>
                <w:bCs/>
              </w:rPr>
              <w:t>Related</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78486" w14:textId="77777777" w:rsidR="003E5237" w:rsidRDefault="00000000">
            <w:r>
              <w:t>TD-001, TD-002, WP-001, OG-002</w:t>
            </w:r>
          </w:p>
        </w:tc>
      </w:tr>
    </w:tbl>
    <w:p w14:paraId="32378488" w14:textId="77777777" w:rsidR="003E5237" w:rsidRDefault="003E5237"/>
    <w:p w14:paraId="32378489" w14:textId="13B3F38E" w:rsidR="003E5237" w:rsidRDefault="00000000">
      <w:pPr>
        <w:spacing w:after="120"/>
        <w:jc w:val="center"/>
      </w:pPr>
      <w:r>
        <w:rPr>
          <w:b/>
          <w:bCs/>
          <w:sz w:val="32"/>
          <w:szCs w:val="32"/>
        </w:rPr>
        <w:t>Classification of Human Activity What Indicators</w:t>
      </w:r>
    </w:p>
    <w:p w14:paraId="3237848A" w14:textId="295DE427" w:rsidR="003E5237" w:rsidRDefault="00830E94">
      <w:pPr>
        <w:spacing w:after="100"/>
        <w:jc w:val="center"/>
      </w:pPr>
      <w:r>
        <w:t>Assigning indicators in the OconEco What hierarchy</w:t>
      </w:r>
    </w:p>
    <w:p w14:paraId="3237848B" w14:textId="77777777" w:rsidR="003E5237" w:rsidRDefault="00000000">
      <w:pPr>
        <w:spacing w:after="240"/>
        <w:jc w:val="center"/>
      </w:pPr>
      <w:r>
        <w:rPr>
          <w:sz w:val="20"/>
          <w:szCs w:val="20"/>
        </w:rPr>
        <w:t>OconEco Operational Guideline OG-001, Version 3.0 — April 2026 (SNA-aligned TL1 edition)</w:t>
      </w:r>
    </w:p>
    <w:p w14:paraId="3237848C" w14:textId="77777777" w:rsidR="003E5237" w:rsidRDefault="00000000">
      <w:pPr>
        <w:pStyle w:val="Heading1"/>
      </w:pPr>
      <w:r>
        <w:t>1. Scope: Human Activity, Not Nature Itself</w:t>
      </w:r>
    </w:p>
    <w:p w14:paraId="3237848D" w14:textId="0116B7EB" w:rsidR="003E5237" w:rsidRDefault="00000000">
      <w:pPr>
        <w:spacing w:after="200"/>
      </w:pPr>
      <w:r>
        <w:t>This guideline addresses the classification of indicators that measure humans exchanges; of what we do make and hold dear. The What hierarchy also recognizes natural exchanges—the hydrological cycle, photosynthesis, mineral deposits—as ‘free’ services of nature. They are not, and probably cannot be, assigned as someone’s claim-rights with correlative duties of other humans. They do not require the disambiguation rules that follow. As of Version 3.0, the TL1 concept hierarchy aligns all asset classifications to SNA 2008: Financial Assets follow AF.1–AF.8, Produced Assets follow AN codes, and ecosystem services sit under Substantive Rights (1.1.2.2) per the Hohfeldian reclassification.</w:t>
      </w:r>
    </w:p>
    <w:p w14:paraId="3237848E" w14:textId="54F5AF24" w:rsidR="003E5237" w:rsidRDefault="00000000">
      <w:pPr>
        <w:spacing w:after="200"/>
      </w:pPr>
      <w:r>
        <w:t>What does require disambiguation is categorizing human activity, interactions with each other and with natural services. The moment humans sever minerals from the earth, deliver water to a city, or trade carbon credits, they enter into social relationships that generate the indicators this guideline classifies. The hierarchy, in other words, classifies the relationships humans form around phenomena, not the phenomena themselves. In that sense we are each an observation as well as an observer. And Hohfeld’s full We observe legal systems, not just one where we reside; and we surely recognize substantive rightscertainly but our acte</w:t>
      </w:r>
    </w:p>
    <w:p w14:paraId="3237848F" w14:textId="0FCB7738" w:rsidR="003E5237" w:rsidRDefault="00000000">
      <w:pPr>
        <w:spacing w:after="240"/>
      </w:pPr>
      <w:r>
        <w:t>This reflects a deeper structural point. The System of National Accounts recognizes only one column of what Wesley Hohfeld identified as the full matrix of jural correlates: claim-rights and their correlated duties—contracts, debts, recorded ownership. Everything else in the Hohfeldian table—liberties, powers, immunities and their correlates—falls beyond SNA’s boundary. OconEco’s “Beyond SNA” branch is not a residual; it maps to those additional columns. Human Resources and Trust Infrastructure (the institutional arrangements that enable or constrain first-order exchange) live there because the social processes they represent are not reducible to claim-rights.</w:t>
      </w:r>
    </w:p>
    <w:p w14:paraId="32378490" w14:textId="77777777" w:rsidR="003E5237" w:rsidRDefault="00000000">
      <w:pPr>
        <w:spacing w:after="240"/>
      </w:pPr>
      <w:r>
        <w:t xml:space="preserve">The consequence is stark. By recognizing only claim-rights, orthodox national accounting does not merely omit the other entitlements—it effectively values them at zero. A person’s liberty to spend time with family, their power to participate in governance, their immunity from arbitrary interference: these are real positions in Hohfeld’s matrix, and they consume the same finite resource—time—as any employment contract. Valuing them at zero is not caution; it is an assertion that systematically distorts every allocation decision built on the accounts. The </w:t>
        <w:lastRenderedPageBreak/>
        <w:t>OconEco hierarchy nests Human Resources under Substantive Rights precisely to make these entitlements visible, so that the substitution relationships between priced claim-rights and unpriced entitlements can at least be analyzed. Without recognition, there is nothing to analyze. [For the operational treatment of Substantive Rights and time-as-portfolio, see OG-002 (forthcoming).]</w:t>
      </w:r>
    </w:p>
    <w:p w14:paraId="32378491" w14:textId="77777777" w:rsidR="003E5237" w:rsidRDefault="00000000">
      <w:pPr>
        <w:pStyle w:val="Heading1"/>
      </w:pPr>
      <w:r>
        <w:t>2. The Two-Step: Recognize, Then Value</w:t>
      </w:r>
    </w:p>
    <w:p w14:paraId="32378492" w14:textId="77777777" w:rsidR="003E5237" w:rsidRDefault="00000000">
      <w:pPr>
        <w:spacing w:after="200"/>
      </w:pPr>
      <w:r>
        <w:t xml:space="preserve">The What concept hierarchy is not a database of observations. It is an </w:t>
      </w:r>
      <w:r>
        <w:rPr>
          <w:b/>
          <w:bCs/>
        </w:rPr>
        <w:t>accounting framework</w:t>
      </w:r>
      <w:r>
        <w:t xml:space="preserve"> that performs two logically distinct operations on any phenomenon that attracts human attention:</w:t>
      </w:r>
    </w:p>
    <w:p w14:paraId="32378493" w14:textId="77777777" w:rsidR="003E5237" w:rsidRDefault="00000000">
      <w:pPr>
        <w:pStyle w:val="ListParagraph"/>
        <w:numPr>
          <w:ilvl w:val="0"/>
          <w:numId w:val="2"/>
        </w:numPr>
      </w:pPr>
      <w:r>
        <w:rPr>
          <w:b/>
          <w:bCs/>
        </w:rPr>
        <w:t xml:space="preserve">Recognize. </w:t>
      </w:r>
      <w:r>
        <w:t>Acknowledge that something exists and matters enough for someone to spend time and money reducing it to numbers or descriptive words. Recognition is deliberately comprehensive: if anyone, anywhere, has found the phenomenon worth measuring or discussing, it earns a node in the hierarchy.</w:t>
      </w:r>
    </w:p>
    <w:p w14:paraId="32378494" w14:textId="77777777" w:rsidR="003E5237" w:rsidRDefault="00000000">
      <w:pPr>
        <w:pStyle w:val="ListParagraph"/>
        <w:numPr>
          <w:ilvl w:val="0"/>
          <w:numId w:val="2"/>
        </w:numPr>
        <w:spacing w:after="200"/>
      </w:pPr>
      <w:r>
        <w:rPr>
          <w:b/>
          <w:bCs/>
        </w:rPr>
        <w:t xml:space="preserve">Value. </w:t>
      </w:r>
      <w:r>
        <w:t>Assign importance, weight, or worth to the recognized item. Valuation is inherently contested. Even when all parties agree an item should be recognized, they may differ widely on what it is worth—and those differences are themselves informative.</w:t>
      </w:r>
    </w:p>
    <w:p w14:paraId="32378495" w14:textId="77777777" w:rsidR="003E5237" w:rsidRDefault="00000000">
      <w:pPr>
        <w:spacing w:after="200"/>
      </w:pPr>
      <w:r>
        <w:t>This distinction is essential because the global information system routinely collapses the two steps. International databases present numbers that embed both recognition and valuation decisions, but the valuation assumptions are often invisible. What Nguyen calls value capture occurs when an institution’s simplified metrics come to dominate practical reasoning, displacing richer but harder-to-articulate values. The underlying mechanism is what Espeland and Stevens call commensuration —the transformation of different qualities into a common metric. Commensuration is a social process that renders some aspects of life visible, measurable, and comparable while making others invisible. It is this process that makes value capture operationally possible: once disparate qualities are reduced to a shared scale, the scale itself begins to govern reasoning. As Porter has shown, the pursuit of quantitative objectivity is itself a social strategy—a response to the political problem of trust across distance—and the numbers it produces carry the institution’s interests in cross-contextual comprehensibility and aggregability.</w:t>
      </w:r>
    </w:p>
    <w:p w14:paraId="32378496" w14:textId="77777777" w:rsidR="003E5237" w:rsidRDefault="00000000">
      <w:pPr>
        <w:spacing w:after="240"/>
      </w:pPr>
      <w:r>
        <w:t>The OconEco hierarchy resists value capture by design. Recognition is expansive; valuation is deferred. The hierarchy says: this phenomenon exists and someone cares about it. It does not say how much it matters. That judgment belongs to the analyst, the community, or the governance process—not to the classification scheme. This requires asking the right How and Why questions of the right stakeholders: Who is exchanging What for it, Where and When. Valuation only matters if future exchanges are expected. [For the operational guideline on workspace-level valuation, see TBD on Workspaces.]</w:t>
      </w:r>
    </w:p>
    <w:p w14:paraId="32378497" w14:textId="77777777" w:rsidR="003E5237" w:rsidRDefault="00000000">
      <w:pPr>
        <w:pStyle w:val="Heading1"/>
      </w:pPr>
      <w:r>
        <w:t>3. Stock or Flow: The First Sorting Decision</w:t>
      </w:r>
    </w:p>
    <w:p w14:paraId="32378498" w14:textId="77777777" w:rsidR="003E5237" w:rsidRDefault="00000000">
      <w:pPr>
        <w:spacing w:after="240"/>
      </w:pPr>
      <w:r>
        <w:t xml:space="preserve">The highest-order classification decision is whether an indicator describes a </w:t>
      </w:r>
      <w:r>
        <w:rPr>
          <w:b/>
          <w:bCs/>
        </w:rPr>
        <w:t>stock</w:t>
      </w:r>
      <w:r>
        <w:t xml:space="preserve"> (Portfolio, branch 1) or a </w:t>
      </w:r>
      <w:r>
        <w:rPr>
          <w:b/>
          <w:bCs/>
        </w:rPr>
        <w:t>flow</w:t>
      </w:r>
      <w:r>
        <w:t xml:space="preserve"> (Wheel of Wealth, branch 2). In business accounting terms, the observation is either recorded in a balance sheet or an income statement.</w:t>
      </w:r>
    </w:p>
    <w:p w14:paraId="32378499" w14:textId="77777777" w:rsidR="003E5237" w:rsidRDefault="00000000">
      <w:pPr>
        <w:pStyle w:val="Heading2"/>
      </w:pPr>
      <w:r>
        <w:t>3.1 The Photograph Test</w:t>
      </w:r>
    </w:p>
    <w:p w14:paraId="3237849A" w14:textId="77777777" w:rsidR="003E5237" w:rsidRDefault="00000000">
      <w:pPr>
        <w:spacing w:after="240"/>
      </w:pPr>
      <w:r>
        <w:t xml:space="preserve">A stock is something you could, in principle, photograph at a point in time: a building, a forest, a bank balance, a population headcount. A flow is an activity that unfolds over a period: production, spending, service delivery, income accrual—a video rather than a photograph. If the </w:t>
        <w:lastRenderedPageBreak/>
        <w:t>indicator requires specifying a duration to make sense, it is almost certainly a flow. Modelers refer to this as the difference between comparative statics and dynamic modeling.</w:t>
      </w:r>
    </w:p>
    <w:p w14:paraId="3237849B" w14:textId="77777777" w:rsidR="003E5237" w:rsidRDefault="00000000">
      <w:pPr>
        <w:pStyle w:val="Heading2"/>
      </w:pPr>
      <w:r>
        <w:t>3.2 Peril: Scaffolding Gravity</w:t>
      </w:r>
    </w:p>
    <w:p w14:paraId="3237849C" w14:textId="77777777" w:rsidR="003E5237" w:rsidRDefault="00000000">
      <w:pPr>
        <w:spacing w:after="240"/>
      </w:pPr>
      <w:r>
        <w:t>Historically, the Portfolio branch had more detailed scaffolding than the Wheel of Wealth. As the US Census Bureau explained in Historical Statistics of the United States 1789–1945,</w:t>
      </w:r>
      <w:r>
        <w:rPr>
          <w:rStyle w:val="FootnoteReference"/>
        </w:rPr>
        <w:footnoteReference w:id="1"/>
      </w:r>
      <w:r>
        <w:t xml:space="preserve"> interest in the national wealth of the United States arose long before interest in national income, just as modern balance-sheet concepts developed earlier than the concepts of the income account. Now, however, asset classifications (SNA, BEA) get thinner descriptions than activity classifications. This creates a gravitational pull: ambiguously labeled terms are more likely to land an indicator in Portfolio simply because the more generic node is an easier match. Disambiguation is expected to entail shifts even across such high-order branches, particularly during initial prototyping. This was clear from a recent major expansion of the WoW extensions (NAICS, SOC, ICP, UNSNA). An Operational Guideline is being devised for term triage in a proprietary LLM. Until then, when in doubt, re-examine whether the indicator describes a stock or a flow.</w:t>
      </w:r>
    </w:p>
    <w:p w14:paraId="3237849D" w14:textId="77777777" w:rsidR="003E5237" w:rsidRDefault="00000000">
      <w:pPr>
        <w:pStyle w:val="Heading2"/>
      </w:pPr>
      <w:r>
        <w:t>3.3 Avatars: What Cannot Be Photographed but Must Be Modeled</w:t>
      </w:r>
    </w:p>
    <w:p w14:paraId="3237849E" w14:textId="77777777" w:rsidR="003E5237" w:rsidRDefault="00000000">
      <w:pPr>
        <w:spacing w:after="200"/>
      </w:pPr>
      <w:r>
        <w:t>Not everything that belongs in the Portfolio branch can literally be photographed. Some constructs—Human Resources, mineral reserve assessments, institutional quality scores—are avatars: placeholders for stocks that modeling requires even though no reporting entity holds a conventional claim-right over them.</w:t>
      </w:r>
    </w:p>
    <w:p w14:paraId="3237849F" w14:textId="77777777" w:rsidR="003E5237" w:rsidRDefault="00000000">
      <w:pPr>
        <w:spacing w:after="200"/>
      </w:pPr>
      <w:r>
        <w:t>Human Resources is the clearest case. There can be no real photograph of “human resources” at any time and place, yet modeling entails stock measures as well as flow measures, so avatars like HR must be added to the story. HR is contentious because conventional wisdom expects a balance sheet to recognize and value what a reporting entity owns or controls, and no reporting entity has such a claim-right on human activity—except where slavery is legal. Irving Fisher, J. R. Hicks, and others have clearly explained both the analytic importance of an HR avatar and hence a balance sheet for enumerating exchanges between governed and government that is more than the aggregation of those for entities reporting claim-rights and duties. [NB: References to Hohfeld’s jural correlates to be added.]</w:t>
      </w:r>
    </w:p>
    <w:p w14:paraId="323784A0" w14:textId="77777777" w:rsidR="003E5237" w:rsidRDefault="00000000">
      <w:pPr>
        <w:spacing w:after="200"/>
      </w:pPr>
      <w:r>
        <w:t>The underlying logic is one of conservation. A person’s time is a finite reservoir. Spending an hour in employment—governed by a contract, a claim-right/duty pair—depletes the time available for everything else: family, civic participation, rest, learning. The employment contract sets the valuation; the wage is the price. But the reduction in available time is real regardless of whether anyone prices what was forgone. Much as severing a mineral from the ground reduces the remaining deposit while adding value to something in the Wheel of Wealth, spending time under an employment contract reduces the person’s reservoir of life allocable to other uses. The HR avatar makes this substitution visible. Without it, the depletion has no place in the accounts and the substitution relationships between priced and unpriced uses of time cannot be analyzed.</w:t>
      </w:r>
    </w:p>
    <w:p w14:paraId="323784A1" w14:textId="77777777" w:rsidR="003E5237" w:rsidRDefault="00000000">
      <w:pPr>
        <w:spacing w:after="200"/>
      </w:pPr>
      <w:r>
        <w:t>Mineral deposits offer a second illustration. No mining company values mineral deposits in its balance sheet. What appears there are contracts granting rights and setting duties—</w:t>
        <w:lastRenderedPageBreak/>
        <w:t>concessions, licenses, royalty agreements. The company’s own-account assessment of proved reserves, probable resources, and exploitation queues is a model of what it could do in future if specified market and legal conditions conform to assumptions. That assessment is another avatar. The minerals themselves are free services of nature; only the social relationships surrounding their severance enter the Portfolio.</w:t>
      </w:r>
    </w:p>
    <w:p w14:paraId="323784A2" w14:textId="77777777" w:rsidR="003E5237" w:rsidRDefault="00000000">
      <w:pPr>
        <w:spacing w:after="240"/>
      </w:pPr>
      <w:r>
        <w:t>As a rule of thumb: avatars belong in the Portfolio branch, nested under Substantive Rights to signal that they represent entitlements in the full Hohfeldian sense—not merely claim-rights that a reporting entity owns. Indicators of market exchanges or claim-rights sit in the Wheel of Wealth. And most exchanges involving Human Resources concern time use, which falls under Beyond SNA. The conservation logic that connects Portfolio depletion to Wheel of Wealth activity—and the operational rules for classifying Substantive Rights indicators—will be treated in OG-002.</w:t>
      </w:r>
    </w:p>
    <w:p w14:paraId="323784A3" w14:textId="77777777" w:rsidR="003E5237" w:rsidRDefault="00000000">
      <w:pPr>
        <w:pStyle w:val="Heading1"/>
      </w:pPr>
      <w:r>
        <w:t>4. Currency or Headcount: Labor vs. Working</w:t>
      </w:r>
    </w:p>
    <w:p w14:paraId="323784A4" w14:textId="77777777" w:rsidR="003E5237" w:rsidRDefault="00000000">
      <w:pPr>
        <w:spacing w:after="200"/>
      </w:pPr>
      <w:r>
        <w:t>Within the flow side of the hierarchy, the most consequential boundary is between two nodes that an unguided classifier will conflate.</w:t>
      </w:r>
    </w:p>
    <w:p w14:paraId="323784A5" w14:textId="77777777" w:rsidR="003E5237" w:rsidRDefault="00000000">
      <w:pPr>
        <w:spacing w:after="200"/>
      </w:pPr>
      <w:r>
        <w:rPr>
          <w:b/>
          <w:bCs/>
        </w:rPr>
        <w:t>Labor (L) at 2.1.1.2.1.2</w:t>
      </w:r>
      <w:r>
        <w:t xml:space="preserve"> is a KLEMS production-function node. It represents the financial value-added contribution of labor to output—denominated in currency or as a share of value added. It gauges: how much of value added was paid to labor?</w:t>
      </w:r>
    </w:p>
    <w:p w14:paraId="323784A6" w14:textId="77777777" w:rsidR="003E5237" w:rsidRDefault="00000000">
      <w:pPr>
        <w:spacing w:after="240"/>
      </w:pPr>
      <w:r>
        <w:rPr>
          <w:b/>
          <w:bCs/>
        </w:rPr>
        <w:t>Working</w:t>
      </w:r>
      <w:r>
        <w:t xml:space="preserve"> at 2.2.1.1.1 is a time-use node under Beyond SNA. It represents headcounts, hours, and participation rates —the physical fact of people spending time in employment. It answers questions about human time use: how many people work, in what occupations, for how many hours?</w:t>
      </w:r>
    </w:p>
    <w:p w14:paraId="323784A7" w14:textId="77777777" w:rsidR="003E5237" w:rsidRDefault="00000000">
      <w:pPr>
        <w:spacing w:before="100" w:after="120"/>
      </w:pPr>
      <w:r>
        <w:rPr>
          <w:b/>
          <w:bCs/>
        </w:rPr>
        <w:t>Node 2.1.1.2.1.2 — Labor (L) in KLEMS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E5237" w14:paraId="323784AA" w14:textId="77777777">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23784A8" w14:textId="77777777" w:rsidR="003E5237" w:rsidRDefault="00000000">
            <w:r>
              <w:rPr>
                <w:b/>
                <w:bCs/>
              </w:rPr>
              <w:t>Classify HERE</w:t>
            </w:r>
          </w:p>
        </w:tc>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23784A9" w14:textId="77777777" w:rsidR="003E5237" w:rsidRDefault="00000000">
            <w:r>
              <w:rPr>
                <w:b/>
                <w:bCs/>
              </w:rPr>
              <w:t>Do NOT classify here</w:t>
            </w:r>
          </w:p>
        </w:tc>
      </w:tr>
      <w:tr w:rsidR="003E5237" w14:paraId="323784AD"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AB" w14:textId="77777777" w:rsidR="003E5237" w:rsidRDefault="00000000">
            <w:r>
              <w:t>Compensation of employees (currency)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AC" w14:textId="77777777" w:rsidR="003E5237" w:rsidRDefault="00000000">
            <w:r>
              <w:t>Employment headcounts (persons)</w:t>
            </w:r>
          </w:p>
        </w:tc>
      </w:tr>
      <w:tr w:rsidR="003E5237" w14:paraId="323784B0"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AE" w14:textId="77777777" w:rsidR="003E5237" w:rsidRDefault="00000000">
            <w:r>
              <w:t>Labor share of value added (%)</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AF" w14:textId="77777777" w:rsidR="003E5237" w:rsidRDefault="00000000">
            <w:r>
              <w:t>Unemployment rate (%)</w:t>
            </w:r>
          </w:p>
        </w:tc>
      </w:tr>
      <w:tr w:rsidR="003E5237" w14:paraId="323784B3"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B1" w14:textId="77777777" w:rsidR="003E5237" w:rsidRDefault="00000000">
            <w:r>
              <w:t>Unit labor costs (index)</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B2" w14:textId="77777777" w:rsidR="003E5237" w:rsidRDefault="00000000">
            <w:r>
              <w:t>Labor force participation rate (%)</w:t>
            </w:r>
          </w:p>
        </w:tc>
      </w:tr>
      <w:tr w:rsidR="003E5237" w14:paraId="323784B6"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B4" w14:textId="77777777" w:rsidR="003E5237" w:rsidRDefault="00000000">
            <w:r>
              <w:t>Labor productivity (output/hour, currency)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B5" w14:textId="77777777" w:rsidR="003E5237" w:rsidRDefault="00000000">
            <w:r>
              <w:t>Agricultural employment, female (%)</w:t>
            </w:r>
          </w:p>
        </w:tc>
      </w:tr>
      <w:tr w:rsidR="003E5237" w14:paraId="323784B9"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B7" w14:textId="77777777" w:rsidR="003E5237" w:rsidRDefault="00000000">
            <w:r>
              <w:t>Wages and salaries (aggregate, currency)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B8" w14:textId="77777777" w:rsidR="003E5237" w:rsidRDefault="00000000">
            <w:r>
              <w:t>Hours worked per week</w:t>
            </w:r>
          </w:p>
        </w:tc>
      </w:tr>
      <w:tr w:rsidR="003E5237" w14:paraId="323784BC"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BA" w14:textId="77777777" w:rsidR="003E5237" w:rsidRDefault="003E5237"/>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784BB" w14:textId="77777777" w:rsidR="003E5237" w:rsidRDefault="00000000">
            <w:r>
              <w:t>Employment-to-population ratio</w:t>
            </w:r>
          </w:p>
        </w:tc>
      </w:tr>
    </w:tbl>
    <w:p w14:paraId="323784BD" w14:textId="77777777" w:rsidR="003E5237" w:rsidRDefault="003E5237">
      <w:pPr>
        <w:spacing w:after="200"/>
      </w:pPr>
    </w:p>
    <w:p w14:paraId="323784BE" w14:textId="77777777" w:rsidR="003E5237" w:rsidRDefault="00000000">
      <w:pPr>
        <w:spacing w:after="240"/>
      </w:pPr>
      <w:r>
        <w:rPr>
          <w:b/>
          <w:bCs/>
        </w:rPr>
        <w:t xml:space="preserve">Diagnostic: </w:t>
      </w:r>
      <w:r>
        <w:t>If the unit of measure is a currency amount or a share of value added, it belongs at 2.1.1.2.1.2. If the unit is persons, hours, or a rate derived from headcounts, it belongs at 2.2.1.1.1.</w:t>
      </w:r>
    </w:p>
    <w:p w14:paraId="323784BF" w14:textId="77777777" w:rsidR="003E5237" w:rsidRDefault="00000000">
      <w:pPr>
        <w:pStyle w:val="Heading1"/>
      </w:pPr>
      <w:r>
        <w:t>5. Human Resources: Recognition vs. Circular Valuation</w:t>
      </w:r>
    </w:p>
    <w:p w14:paraId="323784C0" w14:textId="77777777" w:rsidR="003E5237" w:rsidRDefault="00000000">
      <w:pPr>
        <w:spacing w:after="200"/>
      </w:pPr>
      <w:r>
        <w:t xml:space="preserve">Node 1.1.2.1 (Human Resources) recognizes that accumulated human capability—the cumulative result of education, health, and experience embedded in a population—is an asset. But nearly all data labeled “Human Resources” are outputs of models or opinions about how </w:t>
        <w:lastRenderedPageBreak/>
        <w:t>inputs into humans produce outputs over a long time. This creates circular reasoning: a model predicts future productivity from years of schooling, and we then treat the prediction as if it were an observation of the stock.</w:t>
      </w:r>
    </w:p>
    <w:p w14:paraId="323784C1" w14:textId="77777777" w:rsidR="003E5237" w:rsidRDefault="00000000">
      <w:pPr>
        <w:spacing w:after="240"/>
      </w:pPr>
      <w:r>
        <w:t xml:space="preserve">The OconEco response is to separate what can be directly apprehended from what is inferred. </w:t>
      </w:r>
      <w:r>
        <w:rPr>
          <w:b/>
          <w:bCs/>
        </w:rPr>
        <w:t>Recognition</w:t>
      </w:r>
      <w:r>
        <w:t xml:space="preserve"> of Human Resources as an asset class is not in doubt—someone clearly cares enough to measure it. But the </w:t>
      </w:r>
      <w:r>
        <w:rPr>
          <w:b/>
          <w:bCs/>
        </w:rPr>
        <w:t>valuation</w:t>
      </w:r>
      <w:r>
        <w:t xml:space="preserve"> embedded in most HR indicators (expected returns to schooling, human capital indices) is precisely the kind of outsourced value deliberation that Nguyen warns against.</w:t>
      </w:r>
    </w:p>
    <w:p w14:paraId="323784C2" w14:textId="77777777" w:rsidR="003E5237" w:rsidRDefault="00000000">
      <w:pPr>
        <w:pStyle w:val="Heading2"/>
      </w:pPr>
      <w:r>
        <w:t>5.1 What Stays at 1.1.2.1</w:t>
      </w:r>
    </w:p>
    <w:p w14:paraId="323784C3" w14:textId="77777777" w:rsidR="003E5237" w:rsidRDefault="00000000">
      <w:pPr>
        <w:spacing w:after="200"/>
      </w:pPr>
      <w:r>
        <w:t>Only measures that approximate a direct observation of the accumulated stock:</w:t>
      </w:r>
    </w:p>
    <w:p w14:paraId="323784C4" w14:textId="77777777" w:rsidR="003E5237" w:rsidRDefault="00000000">
      <w:pPr>
        <w:pStyle w:val="ListParagraph"/>
        <w:numPr>
          <w:ilvl w:val="0"/>
          <w:numId w:val="2"/>
        </w:numPr>
      </w:pPr>
      <w:r>
        <w:rPr>
          <w:b/>
          <w:bCs/>
        </w:rPr>
        <w:t>Years of schooling</w:t>
      </w:r>
      <w:r>
        <w:t xml:space="preserve"> (mean, expected)—a duration measure of education accumulated</w:t>
      </w:r>
    </w:p>
    <w:p w14:paraId="323784C5" w14:textId="77777777" w:rsidR="003E5237" w:rsidRDefault="00000000">
      <w:pPr>
        <w:pStyle w:val="ListParagraph"/>
        <w:numPr>
          <w:ilvl w:val="0"/>
          <w:numId w:val="2"/>
        </w:numPr>
      </w:pPr>
      <w:r>
        <w:rPr>
          <w:b/>
          <w:bCs/>
        </w:rPr>
        <w:t>Educational attainment</w:t>
      </w:r>
      <w:r>
        <w:t xml:space="preserve"> (% with primary/secondary/tertiary)—a snapshot of qualifications held</w:t>
      </w:r>
    </w:p>
    <w:p w14:paraId="323784C6" w14:textId="77777777" w:rsidR="003E5237" w:rsidRDefault="00000000">
      <w:pPr>
        <w:pStyle w:val="ListParagraph"/>
        <w:numPr>
          <w:ilvl w:val="0"/>
          <w:numId w:val="2"/>
        </w:numPr>
      </w:pPr>
      <w:r>
        <w:rPr>
          <w:b/>
          <w:bCs/>
        </w:rPr>
        <w:t>Literacy rates</w:t>
      </w:r>
      <w:r>
        <w:t xml:space="preserve"> —a binary capability measure at a point in time</w:t>
      </w:r>
    </w:p>
    <w:p w14:paraId="323784C7" w14:textId="77777777" w:rsidR="003E5237" w:rsidRDefault="00000000">
      <w:pPr>
        <w:pStyle w:val="ListParagraph"/>
        <w:numPr>
          <w:ilvl w:val="0"/>
          <w:numId w:val="2"/>
        </w:numPr>
        <w:spacing w:after="240"/>
      </w:pPr>
      <w:r>
        <w:rPr>
          <w:b/>
          <w:bCs/>
        </w:rPr>
        <w:t xml:space="preserve">Even these carry model-flag caveats: </w:t>
      </w:r>
      <w:r>
        <w:t>“years of schooling” assumes each year contributes equally, which is a valuation judgment, not an observation</w:t>
      </w:r>
    </w:p>
    <w:p w14:paraId="323784C8" w14:textId="77777777" w:rsidR="003E5237" w:rsidRDefault="00000000">
      <w:pPr>
        <w:pStyle w:val="Heading2"/>
      </w:pPr>
      <w:r>
        <w:t>5.2 What Moves to Wheel of Wealth</w:t>
      </w:r>
    </w:p>
    <w:p w14:paraId="323784C9" w14:textId="77777777" w:rsidR="003E5237" w:rsidRDefault="00000000">
      <w:pPr>
        <w:spacing w:after="200"/>
      </w:pPr>
      <w:r>
        <w:t>The vast majority of indicators previously at 1.1.2.1 describe activities, service delivery, or flows:</w:t>
      </w:r>
    </w:p>
    <w:p w14:paraId="323784CA" w14:textId="77777777" w:rsidR="003E5237" w:rsidRDefault="00000000">
      <w:pPr>
        <w:pStyle w:val="ListParagraph"/>
        <w:numPr>
          <w:ilvl w:val="0"/>
          <w:numId w:val="2"/>
        </w:numPr>
      </w:pPr>
      <w:r>
        <w:t>Enrollment rates, pupil counts, out-of-school children → 2.1.1.1 (education as industry/service production)</w:t>
      </w:r>
    </w:p>
    <w:p w14:paraId="323784CB" w14:textId="77777777" w:rsidR="003E5237" w:rsidRDefault="00000000">
      <w:pPr>
        <w:pStyle w:val="ListParagraph"/>
        <w:numPr>
          <w:ilvl w:val="0"/>
          <w:numId w:val="2"/>
        </w:numPr>
      </w:pPr>
      <w:r>
        <w:t>Teacher headcounts, trained-teacher ratios → 2.2.1.1.1 (workers) or 2.1.1.1 (service delivery)</w:t>
      </w:r>
    </w:p>
    <w:p w14:paraId="323784CC" w14:textId="77777777" w:rsidR="003E5237" w:rsidRDefault="00000000">
      <w:pPr>
        <w:pStyle w:val="ListParagraph"/>
        <w:numPr>
          <w:ilvl w:val="0"/>
          <w:numId w:val="2"/>
        </w:numPr>
      </w:pPr>
      <w:r>
        <w:t>Education expenditure → 2.1.2 (Expenditure)</w:t>
      </w:r>
    </w:p>
    <w:p w14:paraId="323784CD" w14:textId="77777777" w:rsidR="003E5237" w:rsidRDefault="00000000">
      <w:pPr>
        <w:pStyle w:val="ListParagraph"/>
        <w:numPr>
          <w:ilvl w:val="0"/>
          <w:numId w:val="2"/>
        </w:numPr>
      </w:pPr>
      <w:r>
        <w:t>Health service delivery (immunization, physician density) → 2.1.1.1 (production of health services)</w:t>
      </w:r>
    </w:p>
    <w:p w14:paraId="323784CE" w14:textId="77777777" w:rsidR="003E5237" w:rsidRDefault="00000000">
      <w:pPr>
        <w:pStyle w:val="ListParagraph"/>
        <w:numPr>
          <w:ilvl w:val="0"/>
          <w:numId w:val="2"/>
        </w:numPr>
      </w:pPr>
      <w:r>
        <w:t>Mortality, life expectancy, disease incidence → 2.1.1.1 (outcomes of health-system activity)</w:t>
      </w:r>
    </w:p>
    <w:p w14:paraId="323784CF" w14:textId="77777777" w:rsidR="003E5237" w:rsidRDefault="00000000">
      <w:pPr>
        <w:pStyle w:val="ListParagraph"/>
        <w:numPr>
          <w:ilvl w:val="0"/>
          <w:numId w:val="2"/>
        </w:numPr>
        <w:spacing w:after="240"/>
      </w:pPr>
      <w:r>
        <w:t>Poverty headcount, income measures → 2.1.3 (Income)</w:t>
      </w:r>
    </w:p>
    <w:p w14:paraId="323784D0" w14:textId="77777777" w:rsidR="003E5237" w:rsidRDefault="00000000">
      <w:pPr>
        <w:pStyle w:val="Heading1"/>
      </w:pPr>
      <w:r>
        <w:t>6. What Counts as a Separate Indicator</w:t>
      </w:r>
    </w:p>
    <w:p w14:paraId="323784D1" w14:textId="77777777" w:rsidR="003E5237" w:rsidRDefault="00000000">
      <w:pPr>
        <w:pStyle w:val="Heading2"/>
      </w:pPr>
      <w:r>
        <w:t>6.1 Exclude: Mathematical Transformations</w:t>
      </w:r>
    </w:p>
    <w:p w14:paraId="323784D2" w14:textId="77777777" w:rsidR="003E5237" w:rsidRDefault="00000000">
      <w:pPr>
        <w:spacing w:after="200"/>
      </w:pPr>
      <w:r>
        <w:t>A percentage, per-capita, ratio, or growth rate of an indicator already in the count contains no new observational content. It is a transformation of the same recognition event. Exclude it.</w:t>
      </w:r>
    </w:p>
    <w:p w14:paraId="323784D3" w14:textId="77777777" w:rsidR="003E5237" w:rsidRDefault="00000000">
      <w:pPr>
        <w:spacing w:after="240"/>
      </w:pPr>
      <w:r>
        <w:rPr>
          <w:b/>
          <w:bCs/>
        </w:rPr>
        <w:t xml:space="preserve">Operational test: </w:t>
      </w:r>
      <w:r>
        <w:t>Could this series be recomputed from other series already counted? If yes, exclude.</w:t>
      </w:r>
    </w:p>
    <w:p w14:paraId="323784D4" w14:textId="77777777" w:rsidR="003E5237" w:rsidRDefault="00000000">
      <w:pPr>
        <w:pStyle w:val="Heading2"/>
      </w:pPr>
      <w:r>
        <w:t>6.2 Include: Alternative Classifications</w:t>
      </w:r>
    </w:p>
    <w:p w14:paraId="323784D5" w14:textId="77777777" w:rsidR="003E5237" w:rsidRDefault="00000000">
      <w:pPr>
        <w:spacing w:after="240"/>
      </w:pPr>
      <w:r>
        <w:t>Different classification systems measuring the same domain DO count as separate indicators. An ISCED-based enrollment measure and a WDI-based enrollment measure embody different analytical frames—different acts of recognition—even if they overlap empirically.</w:t>
      </w:r>
    </w:p>
    <w:p w14:paraId="323784D6" w14:textId="77777777" w:rsidR="003E5237" w:rsidRDefault="00000000">
      <w:pPr>
        <w:pStyle w:val="Heading2"/>
      </w:pPr>
      <w:r>
        <w:t>6.3 Peril: Umbrella Categories</w:t>
      </w:r>
    </w:p>
    <w:p w14:paraId="323784D7" w14:textId="77777777" w:rsidR="003E5237" w:rsidRDefault="00000000">
      <w:pPr>
        <w:spacing w:after="240"/>
      </w:pPr>
      <w:r>
        <w:lastRenderedPageBreak/>
        <w:t>Some sources include aggregate categories that overlap their own detailed components (e.g., OECD Land Cover’s LC_NAT overlaps LC_TREE + LC_SHRUB + LC_GRASS). When a source provides both a parent aggregate and its exhaustive children, count only the children.</w:t>
      </w:r>
    </w:p>
    <w:p w14:paraId="323784D8" w14:textId="77777777" w:rsidR="003E5237" w:rsidRDefault="00000000">
      <w:pPr>
        <w:pStyle w:val="Heading1"/>
      </w:pPr>
      <w:r>
        <w:t>7. The Model/Opinion Flag</w:t>
      </w:r>
    </w:p>
    <w:p w14:paraId="323784D9" w14:textId="77777777" w:rsidR="003E5237" w:rsidRDefault="00000000">
      <w:pPr>
        <w:spacing w:after="200"/>
      </w:pPr>
      <w:r>
        <w:t>Many indicators are not direct observations but outputs of statistical models, expert judgments, or imputation procedures. These are legitimate acts of recognition but they carry embedded valuation assumptions. The What hierarchy includes a ModelFlag to mark them.</w:t>
      </w:r>
    </w:p>
    <w:p w14:paraId="323784DA" w14:textId="77777777" w:rsidR="003E5237" w:rsidRDefault="00000000">
      <w:pPr>
        <w:spacing w:after="240"/>
      </w:pPr>
      <w:r>
        <w:t>This connects to what Porter calls the tension between “trust in numbers” and “trust in authority.” A model-flagged indicator rests partly on the authority of the modeler’s assumptions. That is not a reason to exclude it; it is a reason to be transparent about it. As Ravetz observes, the danger is not quantification itself but “numeric mystification” —when uncertainties in inputs are hidden and the output is presented as settled fact.</w:t>
      </w:r>
    </w:p>
    <w:p w14:paraId="323784DB" w14:textId="77777777" w:rsidR="003E5237" w:rsidRDefault="00000000">
      <w:pPr>
        <w:pStyle w:val="Heading1"/>
      </w:pPr>
      <w:r>
        <w:t>8. Telescoping: Comprehensive Recognition, Compressed Presentation</w:t>
      </w:r>
    </w:p>
    <w:p w14:paraId="323784DC" w14:textId="77777777" w:rsidR="003E5237" w:rsidRDefault="00000000">
      <w:pPr>
        <w:spacing w:after="200"/>
      </w:pPr>
      <w:r>
        <w:t>The full What hierarchy may eventually reach 100,000 nodes—comprehensive recognition of everything anyone has found worth measuring. But human presentation must compress this to constructs with something to report.</w:t>
      </w:r>
    </w:p>
    <w:p w14:paraId="323784DD" w14:textId="77777777" w:rsidR="003E5237" w:rsidRDefault="00000000">
      <w:pPr>
        <w:spacing w:after="240"/>
      </w:pPr>
      <w:r>
        <w:t>The three-layer architecture serves this: Layer 1 (full machine-facing hierarchy) holds every node. Layer 2 (activated subset) shows only nodes where data or text references exist. Layer 3 (compressed presentation) rolls up to the level where a human can scan. Recognition is never lost; it is merely hidden until activated by evidence.</w:t>
      </w:r>
    </w:p>
    <w:p w14:paraId="323784DE" w14:textId="77777777" w:rsidR="003E5237" w:rsidRDefault="00000000">
      <w:pPr>
        <w:pStyle w:val="Heading1"/>
      </w:pPr>
      <w:r>
        <w:t>9. Observation Metadata and the Vintage Problem</w:t>
      </w:r>
    </w:p>
    <w:p w14:paraId="323784DF" w14:textId="77777777" w:rsidR="003E5237" w:rsidRDefault="00000000">
      <w:pPr>
        <w:spacing w:after="240"/>
      </w:pPr>
      <w:r>
        <w:t>D-coded data may represent direct observations with a year that differs from the reported period. Record them with a disclaimer rather than discarding them. Subnational data for developing economies are often a decade old while OECD data are 1–2 years current. This asymmetry cannot be resolved, but it must be acknowledged: a conscientious analyst working in a data-poor region will find non-standard, locally standardized data that matter and guide analysis regardless of what the top-down dataset implies.</w:t>
      </w:r>
    </w:p>
    <w:p w14:paraId="323784E0" w14:textId="77777777" w:rsidR="003E5237" w:rsidRDefault="00000000">
      <w:pPr>
        <w:pStyle w:val="Heading1"/>
      </w:pPr>
      <w:r>
        <w:t>10. Empirical Triage</w:t>
      </w:r>
    </w:p>
    <w:p w14:paraId="323784E1" w14:textId="77777777" w:rsidR="003E5237" w:rsidRDefault="00000000">
      <w:pPr>
        <w:spacing w:after="240"/>
      </w:pPr>
      <w:r>
        <w:t>Classification serves a governance purpose: enabling “trust but verify” at scale. The triage principle holds that scarce compilation resources should flow away from branches with abundant data but little analytic use, and toward branches where analyses are being conducted but standard metrics are lacking. The Telescoped tab provides the diagnostic: nodes with many indicators but no text hits signal potential overinvestment; nodes with text hits but no indicators signal underinvestment. This is the operational response to Porter’s insight that quantification is always also a political act—it reveals where institutional attention flows and where it does not.</w:t>
      </w:r>
    </w:p>
    <w:p w14:paraId="323784E2" w14:textId="77777777" w:rsidR="003E5237" w:rsidRDefault="00000000">
      <w:pPr>
        <w:pStyle w:val="Heading1"/>
      </w:pPr>
      <w:r>
        <w:t>11. Summary Decision Tree</w:t>
      </w:r>
    </w:p>
    <w:p w14:paraId="323784E3" w14:textId="77777777" w:rsidR="003E5237" w:rsidRDefault="00000000">
      <w:pPr>
        <w:spacing w:after="200"/>
      </w:pPr>
      <w:r>
        <w:t>When classifying a new indicator, apply these tests in order:</w:t>
      </w:r>
    </w:p>
    <w:p w14:paraId="323784E4" w14:textId="77777777" w:rsidR="003E5237" w:rsidRDefault="00000000">
      <w:pPr>
        <w:pStyle w:val="ListParagraph"/>
        <w:numPr>
          <w:ilvl w:val="0"/>
          <w:numId w:val="3"/>
        </w:numPr>
      </w:pPr>
      <w:r>
        <w:rPr>
          <w:b/>
          <w:bCs/>
        </w:rPr>
        <w:t xml:space="preserve">Is it a transformation? </w:t>
      </w:r>
      <w:r>
        <w:t>(%, per-capita, ratio, growth rate) → Exclude from count</w:t>
      </w:r>
    </w:p>
    <w:p w14:paraId="323784E5" w14:textId="77777777" w:rsidR="003E5237" w:rsidRDefault="00000000">
      <w:pPr>
        <w:pStyle w:val="ListParagraph"/>
        <w:numPr>
          <w:ilvl w:val="0"/>
          <w:numId w:val="3"/>
        </w:numPr>
      </w:pPr>
      <w:r>
        <w:rPr>
          <w:b/>
          <w:bCs/>
        </w:rPr>
        <w:lastRenderedPageBreak/>
        <w:t xml:space="preserve">Is it an umbrella? </w:t>
      </w:r>
      <w:r>
        <w:t>(aggregate whose children are all separately counted) → Exclude</w:t>
      </w:r>
    </w:p>
    <w:p w14:paraId="323784E6" w14:textId="77777777" w:rsidR="003E5237" w:rsidRDefault="00000000">
      <w:pPr>
        <w:pStyle w:val="ListParagraph"/>
        <w:numPr>
          <w:ilvl w:val="0"/>
          <w:numId w:val="3"/>
        </w:numPr>
      </w:pPr>
      <w:r>
        <w:rPr>
          <w:b/>
          <w:bCs/>
        </w:rPr>
        <w:t xml:space="preserve">Stock or flow? </w:t>
      </w:r>
      <w:r>
        <w:t>Photograph test → Stock to Portfolio (1.x), Flow to WoW (2.x)</w:t>
      </w:r>
    </w:p>
    <w:p w14:paraId="323784E7" w14:textId="77777777" w:rsidR="003E5237" w:rsidRDefault="00000000">
      <w:pPr>
        <w:pStyle w:val="ListParagraph"/>
        <w:numPr>
          <w:ilvl w:val="0"/>
          <w:numId w:val="3"/>
        </w:numPr>
      </w:pPr>
      <w:r>
        <w:rPr>
          <w:b/>
          <w:bCs/>
        </w:rPr>
        <w:t xml:space="preserve">If flow: currency or headcount? </w:t>
      </w:r>
      <w:r>
        <w:t>Currency → KLEMS (2.1.1.2.x). Headcount/hours → Working (2.2.1.1.1) or By Industry (2.1.1.1)</w:t>
      </w:r>
    </w:p>
    <w:p w14:paraId="323784E8" w14:textId="77777777" w:rsidR="003E5237" w:rsidRDefault="00000000">
      <w:pPr>
        <w:pStyle w:val="ListParagraph"/>
        <w:numPr>
          <w:ilvl w:val="0"/>
          <w:numId w:val="3"/>
        </w:numPr>
      </w:pPr>
      <w:r>
        <w:rPr>
          <w:b/>
          <w:bCs/>
        </w:rPr>
        <w:t xml:space="preserve">If stock: direct observation or model? </w:t>
      </w:r>
      <w:r>
        <w:t>Direct → classify normally. Model/opinion → classify and set ModelFlag</w:t>
      </w:r>
    </w:p>
    <w:p w14:paraId="323784E9" w14:textId="77777777" w:rsidR="003E5237" w:rsidRDefault="00000000">
      <w:pPr>
        <w:pStyle w:val="ListParagraph"/>
        <w:numPr>
          <w:ilvl w:val="0"/>
          <w:numId w:val="3"/>
        </w:numPr>
      </w:pPr>
      <w:r>
        <w:rPr>
          <w:b/>
          <w:bCs/>
        </w:rPr>
        <w:t xml:space="preserve">Assign to finest grain available. </w:t>
      </w:r>
      <w:r>
        <w:t>Use extension standards (NAICS, SOC, ICP, UNSNA). Flag ancestors.</w:t>
      </w:r>
    </w:p>
    <w:p w14:paraId="323784EA" w14:textId="77777777" w:rsidR="003E5237" w:rsidRDefault="00000000">
      <w:pPr>
        <w:pStyle w:val="ListParagraph"/>
        <w:numPr>
          <w:ilvl w:val="0"/>
          <w:numId w:val="3"/>
        </w:numPr>
        <w:spacing w:after="240"/>
      </w:pPr>
      <w:r>
        <w:rPr>
          <w:b/>
          <w:bCs/>
        </w:rPr>
        <w:t xml:space="preserve">Record provenance. </w:t>
      </w:r>
      <w:r>
        <w:t>Note source, classification system, and any reclassification.</w:t>
      </w:r>
    </w:p>
    <w:p w14:paraId="323784EB" w14:textId="77777777" w:rsidR="003E5237" w:rsidRDefault="00000000">
      <w:r>
        <w:br w:type="page"/>
      </w:r>
    </w:p>
    <w:p w14:paraId="323784EC" w14:textId="77777777" w:rsidR="003E5237" w:rsidRDefault="00000000">
      <w:pPr>
        <w:pStyle w:val="Heading1"/>
      </w:pPr>
      <w:r>
        <w:lastRenderedPageBreak/>
        <w:t>Appendix: Perils and Pitfalls</w:t>
      </w:r>
    </w:p>
    <w:p w14:paraId="323784ED" w14:textId="77777777" w:rsidR="003E5237" w:rsidRDefault="00000000">
      <w:pPr>
        <w:spacing w:after="200"/>
      </w:pPr>
      <w:r>
        <w:t>The following traps were encountered during the initial tethering of WDI, OECD, and UNDP data, and during the BEA→SNA conversion (April 2026). They remain on the path for anyone classifying new indicator bundles.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3896"/>
        <w:gridCol w:w="3687"/>
      </w:tblGrid>
      <w:tr w:rsidR="003E5237" w14:paraId="323784F1"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23784EE" w14:textId="77777777" w:rsidR="003E5237" w:rsidRDefault="00000000">
            <w:r>
              <w:rPr>
                <w:b/>
                <w:bCs/>
              </w:rPr>
              <w:t>Peril</w:t>
            </w:r>
          </w:p>
        </w:tc>
        <w:tc>
          <w:tcPr>
            <w:tcW w:w="36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23784EF" w14:textId="77777777" w:rsidR="003E5237" w:rsidRDefault="00000000">
            <w:r>
              <w:rPr>
                <w:b/>
                <w:bCs/>
              </w:rPr>
              <w:t>What Happens</w:t>
            </w:r>
          </w:p>
        </w:tc>
        <w:tc>
          <w:tcPr>
            <w:tcW w:w="39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23784F0" w14:textId="77777777" w:rsidR="003E5237" w:rsidRDefault="00000000">
            <w:r>
              <w:rPr>
                <w:b/>
                <w:bCs/>
              </w:rPr>
              <w:t>How to Avoid</w:t>
            </w:r>
          </w:p>
        </w:tc>
      </w:tr>
      <w:tr w:rsidR="003E5237" w14:paraId="323784F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2" w14:textId="77777777" w:rsidR="003E5237" w:rsidRDefault="00000000">
            <w:r>
              <w:t>Scaffolding gravity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3" w14:textId="77777777" w:rsidR="003E5237" w:rsidRDefault="00000000">
            <w:r>
              <w:t>Indicators land in Portfolio because it has more nodes, even when they describe flows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4" w14:textId="77777777" w:rsidR="003E5237" w:rsidRDefault="00000000">
            <w:r>
              <w:t>Apply photograph test before looking for a matching node</w:t>
            </w:r>
          </w:p>
        </w:tc>
      </w:tr>
      <w:tr w:rsidR="003E5237" w14:paraId="323784F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6" w14:textId="77777777" w:rsidR="003E5237" w:rsidRDefault="00000000">
            <w:r>
              <w:t>HR circularity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7" w14:textId="77777777" w:rsidR="003E5237" w:rsidRDefault="00000000">
            <w:r>
              <w:t>Model outputs (expected years of schooling, human capital index) treated as observations of stock</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8" w14:textId="77777777" w:rsidR="003E5237" w:rsidRDefault="00000000">
            <w:r>
              <w:t>Only years-of-schooling/attainment/literacy stay at 1.1.2.1; rest move to WoW</w:t>
            </w:r>
          </w:p>
        </w:tc>
      </w:tr>
      <w:tr w:rsidR="003E5237" w14:paraId="323784F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A" w14:textId="77777777" w:rsidR="003E5237" w:rsidRDefault="00000000">
            <w:r>
              <w:t>Labor/Working conflation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B" w14:textId="77777777" w:rsidR="003E5237" w:rsidRDefault="00000000">
            <w:r>
              <w:t>Employment headcounts placed at KLEMS Labor (a financial node) instead of Working (a time-use node)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C" w14:textId="77777777" w:rsidR="003E5237" w:rsidRDefault="00000000">
            <w:r>
              <w:t>Check unit: currency → Labor; persons/hours → Working</w:t>
            </w:r>
          </w:p>
        </w:tc>
      </w:tr>
      <w:tr w:rsidR="003E5237" w14:paraId="3237850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E" w14:textId="77777777" w:rsidR="003E5237" w:rsidRDefault="00000000">
            <w:r>
              <w:t>Transformation inflation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4FF" w14:textId="77777777" w:rsidR="003E5237" w:rsidRDefault="00000000">
            <w:r>
              <w:t>Percentage and per-capita versions counted as separate indicators, inflating node counts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0" w14:textId="77777777" w:rsidR="003E5237" w:rsidRDefault="00000000">
            <w:r>
              <w:t>Apply “could it be recomputed?” test</w:t>
            </w:r>
          </w:p>
        </w:tc>
      </w:tr>
      <w:tr w:rsidR="003E5237" w14:paraId="3237850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2" w14:textId="77777777" w:rsidR="003E5237" w:rsidRDefault="00000000">
            <w:r>
              <w:t>Umbrella double-counting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3" w14:textId="77777777" w:rsidR="003E5237" w:rsidRDefault="00000000">
            <w:r>
              <w:t>LC_NAT (umbrella) counted alongside LC_TREE+LC_SHRUB+LC_GRASS, inflating area 1.6x</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4" w14:textId="77777777" w:rsidR="003E5237" w:rsidRDefault="00000000">
            <w:r>
              <w:t>When parent = sum of children, count children only</w:t>
            </w:r>
          </w:p>
        </w:tc>
      </w:tr>
      <w:tr w:rsidR="003E5237" w14:paraId="3237850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6" w14:textId="77777777" w:rsidR="003E5237" w:rsidRDefault="00000000">
            <w:r>
              <w:t>Nature/rights conflation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7" w14:textId="77777777" w:rsidR="003E5237" w:rsidRDefault="00000000">
            <w:r>
              <w:t>Mineral deposits or ecosystem services treated as portfolio assets rather than free services of nature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8" w14:textId="77777777" w:rsidR="003E5237" w:rsidRDefault="00000000">
            <w:r>
              <w:t>What enters Portfolio are the rights and duties (contracts, concessions); nature itself earns recognition but not ownership</w:t>
            </w:r>
          </w:p>
        </w:tc>
      </w:tr>
      <w:tr w:rsidR="003E5237" w14:paraId="3237850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A" w14:textId="77777777" w:rsidR="003E5237" w:rsidRDefault="00000000">
            <w:r>
              <w:t>Value capture by metrics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B" w14:textId="77777777" w:rsidR="003E5237" w:rsidRDefault="00000000">
            <w:r>
              <w:t>Institutional metrics (HDI, governance scores) treated as observations rather than as embedded valuations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C" w14:textId="77777777" w:rsidR="003E5237" w:rsidRDefault="00000000">
            <w:r>
              <w:t>Set ModelFlag; separate recognition from valuation</w:t>
            </w:r>
          </w:p>
        </w:tc>
      </w:tr>
      <w:tr w:rsidR="003E5237" w14:paraId="3237851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E" w14:textId="77777777" w:rsidR="003E5237" w:rsidRDefault="00000000">
            <w:r>
              <w:t>Column-reference drift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0F" w14:textId="77777777" w:rsidR="003E5237" w:rsidRDefault="00000000">
            <w:r>
              <w:t>Workbook column indices change across versions; code references wrong column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8510" w14:textId="77777777" w:rsidR="003E5237" w:rsidRDefault="00000000">
            <w:r>
              <w:t>Always verify column headers programmatically before matching</w:t>
            </w:r>
          </w:p>
        </w:tc>
      </w:tr>
    </w:tbl>
    <w:p w14:paraId="32378512" w14:textId="77777777" w:rsidR="003E5237" w:rsidRDefault="003E5237">
      <w:pPr>
        <w:spacing w:after="240"/>
      </w:pPr>
    </w:p>
    <w:p w14:paraId="32378513" w14:textId="77777777" w:rsidR="003E5237" w:rsidRDefault="00000000">
      <w:pPr>
        <w:pStyle w:val="Heading1"/>
      </w:pPr>
      <w:r>
        <w:t>Intellectual Foundations</w:t>
      </w:r>
    </w:p>
    <w:p w14:paraId="32378514" w14:textId="77777777" w:rsidR="003E5237" w:rsidRDefault="00000000">
      <w:pPr>
        <w:spacing w:after="200"/>
      </w:pPr>
      <w:r>
        <w:t>This guideline draws on a tradition of scholarship concerned with the social life of quantification. Key works in the Commensuration collection inform its framing:</w:t>
      </w:r>
    </w:p>
    <w:p w14:paraId="32378515" w14:textId="77777777" w:rsidR="003E5237" w:rsidRDefault="00000000">
      <w:pPr>
        <w:pStyle w:val="ListParagraph"/>
        <w:numPr>
          <w:ilvl w:val="0"/>
          <w:numId w:val="2"/>
        </w:numPr>
      </w:pPr>
      <w:r>
        <w:t>Porter, T. M. (1995). Trust in Numbers: The Pursuit of Objectivity in Science and Public Life. Princeton. The foundational account of quantification as a strategy for overcoming distance and distrust.</w:t>
      </w:r>
    </w:p>
    <w:p w14:paraId="32378516" w14:textId="77777777" w:rsidR="003E5237" w:rsidRDefault="00000000">
      <w:pPr>
        <w:pStyle w:val="ListParagraph"/>
        <w:numPr>
          <w:ilvl w:val="0"/>
          <w:numId w:val="2"/>
        </w:numPr>
      </w:pPr>
      <w:r>
        <w:t>Porter, T. M. (1992). “Quantification and the Accounting Ideal in Science.” Social Studies of Science 22(4). Objectivity as rules-plus-entities; accounting’s relevance to scientific practice.</w:t>
      </w:r>
    </w:p>
    <w:p w14:paraId="32378517" w14:textId="77777777" w:rsidR="003E5237" w:rsidRDefault="00000000">
      <w:pPr>
        <w:pStyle w:val="ListParagraph"/>
        <w:numPr>
          <w:ilvl w:val="0"/>
          <w:numId w:val="2"/>
        </w:numPr>
      </w:pPr>
      <w:r>
        <w:lastRenderedPageBreak/>
        <w:t>Nguyen, C. T. (forthcoming). “Value Capture.” Journal of Ethics and Social Philosophy. How institutional metrics outsource value deliberation.</w:t>
      </w:r>
    </w:p>
    <w:p w14:paraId="32378518" w14:textId="77777777" w:rsidR="003E5237" w:rsidRDefault="00000000">
      <w:pPr>
        <w:pStyle w:val="ListParagraph"/>
        <w:numPr>
          <w:ilvl w:val="0"/>
          <w:numId w:val="2"/>
        </w:numPr>
      </w:pPr>
      <w:r>
        <w:t>Ravetz, J. R. (1997). “In Numbers We Trust.” Review of Porter. The boundary between genuine quantification and numeric mystification.</w:t>
      </w:r>
    </w:p>
    <w:p w14:paraId="32378519" w14:textId="77777777" w:rsidR="003E5237" w:rsidRDefault="00000000">
      <w:pPr>
        <w:pStyle w:val="ListParagraph"/>
        <w:numPr>
          <w:ilvl w:val="0"/>
          <w:numId w:val="2"/>
        </w:numPr>
      </w:pPr>
      <w:r>
        <w:t>Espeland, W. N. and Stevens, M. L. (1998). “Commensuration as a Social Process.” Annual Review of Sociology 24. The seminal account of how transforming different qualities into a common metric renders some aspects visible while making others invisible—the connective tissue between trust in numbers and value capture.</w:t>
      </w:r>
    </w:p>
    <w:p w14:paraId="3237851A" w14:textId="77777777" w:rsidR="003E5237" w:rsidRDefault="00000000">
      <w:pPr>
        <w:pStyle w:val="ListParagraph"/>
        <w:numPr>
          <w:ilvl w:val="0"/>
          <w:numId w:val="2"/>
        </w:numPr>
      </w:pPr>
      <w:r>
        <w:t>Hohfeld, W. N. (1919). Fundamental Legal Conceptions as Applied in Judicial Reasoning. Yale University Press. The matrix of jural correlates (claim-right/duty, liberty/no-right, power/liability, immunity/disability) that defines the boundary between what national accounts recognize and what lies beyond.</w:t>
      </w:r>
    </w:p>
    <w:p w14:paraId="3237851B" w14:textId="77777777" w:rsidR="003E5237" w:rsidRDefault="00000000">
      <w:pPr>
        <w:pStyle w:val="ListParagraph"/>
        <w:numPr>
          <w:ilvl w:val="0"/>
          <w:numId w:val="2"/>
        </w:numPr>
        <w:spacing w:after="240"/>
      </w:pPr>
      <w:r>
        <w:t>Kramer, M. H. (2024). Rights and Right-Holding. Oxford University Press. A contemporary exposition of the Hohfeldian framework, clarifying first-order and higher-order positions.</w:t>
      </w:r>
    </w:p>
    <w:sectPr w:rsidR="003E52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720F" w14:textId="77777777" w:rsidR="00566230" w:rsidRDefault="00566230">
      <w:r>
        <w:separator/>
      </w:r>
    </w:p>
  </w:endnote>
  <w:endnote w:type="continuationSeparator" w:id="0">
    <w:p w14:paraId="097B0100" w14:textId="77777777" w:rsidR="00566230" w:rsidRDefault="0056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851D" w14:textId="376541BA" w:rsidR="003E5237" w:rsidRDefault="00000000">
    <w:pPr>
      <w:pBdr>
        <w:top w:val="single" w:sz="6" w:space="1" w:color="2E75B6"/>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A29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CF06" w14:textId="77777777" w:rsidR="00566230" w:rsidRDefault="00566230">
      <w:r>
        <w:separator/>
      </w:r>
    </w:p>
  </w:footnote>
  <w:footnote w:type="continuationSeparator" w:id="0">
    <w:p w14:paraId="02870D50" w14:textId="77777777" w:rsidR="00566230" w:rsidRDefault="00566230">
      <w:r>
        <w:continuationSeparator/>
      </w:r>
    </w:p>
  </w:footnote>
  <w:footnote w:id="1">
    <w:p w14:paraId="3237851E" w14:textId="77777777" w:rsidR="003E5237" w:rsidRDefault="00000000">
      <w:r>
        <w:rPr>
          <w:rStyle w:val="FootnoteReference"/>
        </w:rPr>
        <w:footnoteRef/>
      </w:r>
      <w:r>
        <w:t>US Census Bureau, Historical Statistics of the United States 1789–1945: As cited in national accounting literature, the shift from balance-sheet primacy to income-statement emphasis reflects broader shifts in how economists and statisticians frame national performance.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851C" w14:textId="77777777" w:rsidR="003E5237" w:rsidRDefault="00000000">
    <w:pPr>
      <w:pBdr>
        <w:bottom w:val="single" w:sz="6" w:space="1" w:color="2E75B6"/>
      </w:pBdr>
    </w:pPr>
    <w:r>
      <w:rPr>
        <w:color w:val="666666"/>
        <w:sz w:val="20"/>
        <w:szCs w:val="20"/>
      </w:rPr>
      <w:t>OG-001 | Classification of What Indicators for Human Activity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6005"/>
    <w:multiLevelType w:val="multilevel"/>
    <w:tmpl w:val="C470759A"/>
    <w:lvl w:ilvl="0">
      <w:start w:val="1"/>
      <w:numFmt w:val="decimal"/>
      <w:lvlText w:val="%1."/>
      <w:lvlJc w:val="left"/>
      <w:pPr>
        <w:ind w:left="720" w:hanging="360"/>
      </w:pPr>
    </w:lvl>
    <w:lvl w:ilvl="1">
      <w:start w:val="1"/>
      <w:numFmt w:val="decimal"/>
      <w:lvlText w:val="%1.%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E0400D"/>
    <w:multiLevelType w:val="hybridMultilevel"/>
    <w:tmpl w:val="06A8A6AC"/>
    <w:lvl w:ilvl="0" w:tplc="8796E584">
      <w:start w:val="1"/>
      <w:numFmt w:val="bullet"/>
      <w:lvlText w:val="●"/>
      <w:lvlJc w:val="left"/>
      <w:pPr>
        <w:ind w:left="720" w:hanging="360"/>
      </w:pPr>
    </w:lvl>
    <w:lvl w:ilvl="1" w:tplc="8A347906">
      <w:start w:val="1"/>
      <w:numFmt w:val="bullet"/>
      <w:lvlText w:val="○"/>
      <w:lvlJc w:val="left"/>
      <w:pPr>
        <w:ind w:left="1440" w:hanging="360"/>
      </w:pPr>
    </w:lvl>
    <w:lvl w:ilvl="2" w:tplc="7A020298">
      <w:start w:val="1"/>
      <w:numFmt w:val="bullet"/>
      <w:lvlText w:val="■"/>
      <w:lvlJc w:val="left"/>
      <w:pPr>
        <w:ind w:left="2160" w:hanging="360"/>
      </w:pPr>
    </w:lvl>
    <w:lvl w:ilvl="3" w:tplc="C9D0B874">
      <w:start w:val="1"/>
      <w:numFmt w:val="bullet"/>
      <w:lvlText w:val="●"/>
      <w:lvlJc w:val="left"/>
      <w:pPr>
        <w:ind w:left="2880" w:hanging="360"/>
      </w:pPr>
    </w:lvl>
    <w:lvl w:ilvl="4" w:tplc="F3F493F8">
      <w:start w:val="1"/>
      <w:numFmt w:val="bullet"/>
      <w:lvlText w:val="○"/>
      <w:lvlJc w:val="left"/>
      <w:pPr>
        <w:ind w:left="3600" w:hanging="360"/>
      </w:pPr>
    </w:lvl>
    <w:lvl w:ilvl="5" w:tplc="16DAE892">
      <w:start w:val="1"/>
      <w:numFmt w:val="bullet"/>
      <w:lvlText w:val="■"/>
      <w:lvlJc w:val="left"/>
      <w:pPr>
        <w:ind w:left="4320" w:hanging="360"/>
      </w:pPr>
    </w:lvl>
    <w:lvl w:ilvl="6" w:tplc="DE2CCA4A">
      <w:start w:val="1"/>
      <w:numFmt w:val="bullet"/>
      <w:lvlText w:val="●"/>
      <w:lvlJc w:val="left"/>
      <w:pPr>
        <w:ind w:left="5040" w:hanging="360"/>
      </w:pPr>
    </w:lvl>
    <w:lvl w:ilvl="7" w:tplc="0E1EF850">
      <w:start w:val="1"/>
      <w:numFmt w:val="bullet"/>
      <w:lvlText w:val="●"/>
      <w:lvlJc w:val="left"/>
      <w:pPr>
        <w:ind w:left="5760" w:hanging="360"/>
      </w:pPr>
    </w:lvl>
    <w:lvl w:ilvl="8" w:tplc="B672CD5E">
      <w:start w:val="1"/>
      <w:numFmt w:val="bullet"/>
      <w:lvlText w:val="●"/>
      <w:lvlJc w:val="left"/>
      <w:pPr>
        <w:ind w:left="6480" w:hanging="360"/>
      </w:pPr>
    </w:lvl>
  </w:abstractNum>
  <w:abstractNum w:abstractNumId="2" w15:restartNumberingAfterBreak="0">
    <w:nsid w:val="6F960E6D"/>
    <w:multiLevelType w:val="hybridMultilevel"/>
    <w:tmpl w:val="517C550A"/>
    <w:lvl w:ilvl="0" w:tplc="E196D31A">
      <w:start w:val="1"/>
      <w:numFmt w:val="bullet"/>
      <w:lvlText w:val="•"/>
      <w:lvlJc w:val="left"/>
      <w:pPr>
        <w:ind w:left="720" w:hanging="360"/>
      </w:pPr>
    </w:lvl>
    <w:lvl w:ilvl="1" w:tplc="4E08E4D0">
      <w:numFmt w:val="decimal"/>
      <w:lvlText w:val=""/>
      <w:lvlJc w:val="left"/>
    </w:lvl>
    <w:lvl w:ilvl="2" w:tplc="C2F82470">
      <w:numFmt w:val="decimal"/>
      <w:lvlText w:val=""/>
      <w:lvlJc w:val="left"/>
    </w:lvl>
    <w:lvl w:ilvl="3" w:tplc="4206496E">
      <w:numFmt w:val="decimal"/>
      <w:lvlText w:val=""/>
      <w:lvlJc w:val="left"/>
    </w:lvl>
    <w:lvl w:ilvl="4" w:tplc="81701CE0">
      <w:numFmt w:val="decimal"/>
      <w:lvlText w:val=""/>
      <w:lvlJc w:val="left"/>
    </w:lvl>
    <w:lvl w:ilvl="5" w:tplc="0A5CCE18">
      <w:numFmt w:val="decimal"/>
      <w:lvlText w:val=""/>
      <w:lvlJc w:val="left"/>
    </w:lvl>
    <w:lvl w:ilvl="6" w:tplc="1B5619B6">
      <w:numFmt w:val="decimal"/>
      <w:lvlText w:val=""/>
      <w:lvlJc w:val="left"/>
    </w:lvl>
    <w:lvl w:ilvl="7" w:tplc="A692A3E6">
      <w:numFmt w:val="decimal"/>
      <w:lvlText w:val=""/>
      <w:lvlJc w:val="left"/>
    </w:lvl>
    <w:lvl w:ilvl="8" w:tplc="2C10EB3A">
      <w:numFmt w:val="decimal"/>
      <w:lvlText w:val=""/>
      <w:lvlJc w:val="left"/>
    </w:lvl>
  </w:abstractNum>
  <w:num w:numId="1" w16cid:durableId="743261987">
    <w:abstractNumId w:val="1"/>
    <w:lvlOverride w:ilvl="0">
      <w:startOverride w:val="1"/>
    </w:lvlOverride>
  </w:num>
  <w:num w:numId="2" w16cid:durableId="488178064">
    <w:abstractNumId w:val="2"/>
    <w:lvlOverride w:ilvl="0">
      <w:startOverride w:val="1"/>
    </w:lvlOverride>
  </w:num>
  <w:num w:numId="3" w16cid:durableId="631596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237"/>
    <w:rsid w:val="001C42CE"/>
    <w:rsid w:val="001D74C3"/>
    <w:rsid w:val="00205275"/>
    <w:rsid w:val="002F39EC"/>
    <w:rsid w:val="003B66B1"/>
    <w:rsid w:val="003E0A0E"/>
    <w:rsid w:val="003E5237"/>
    <w:rsid w:val="004F7D06"/>
    <w:rsid w:val="00530D8A"/>
    <w:rsid w:val="00566230"/>
    <w:rsid w:val="00584535"/>
    <w:rsid w:val="007765E4"/>
    <w:rsid w:val="00830E94"/>
    <w:rsid w:val="008556E0"/>
    <w:rsid w:val="008657C6"/>
    <w:rsid w:val="008A01DC"/>
    <w:rsid w:val="009547D3"/>
    <w:rsid w:val="009D6E5A"/>
    <w:rsid w:val="00A3590C"/>
    <w:rsid w:val="00A560C9"/>
    <w:rsid w:val="00AC6AC0"/>
    <w:rsid w:val="00B1512B"/>
    <w:rsid w:val="00B25F48"/>
    <w:rsid w:val="00BB7733"/>
    <w:rsid w:val="00C42C23"/>
    <w:rsid w:val="00C838DD"/>
    <w:rsid w:val="00C94057"/>
    <w:rsid w:val="00CE3856"/>
    <w:rsid w:val="00D06EC0"/>
    <w:rsid w:val="00D42269"/>
    <w:rsid w:val="00D72EC9"/>
    <w:rsid w:val="00DF4915"/>
    <w:rsid w:val="00E66D93"/>
    <w:rsid w:val="00FA29CC"/>
    <w:rsid w:val="00FA74AA"/>
    <w:rsid w:val="00FE0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8470"/>
  <w15:docId w15:val="{113A5ADE-8004-4DA6-8248-93C36C5B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semiHidden/>
    <w:unhideWhenUsed/>
    <w:qFormat/>
    <w:pPr>
      <w:spacing w:before="12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3235</Words>
  <Characters>18445</Characters>
  <Application>Microsoft Office Word</Application>
  <DocSecurity>0</DocSecurity>
  <Lines>153</Lines>
  <Paragraphs>43</Paragraphs>
  <ScaleCrop>false</ScaleCrop>
  <Company/>
  <LinksUpToDate>false</LinksUpToDate>
  <CharactersWithSpaces>21637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O'Connor</cp:lastModifiedBy>
  <cp:revision>33</cp:revision>
  <dcterms:created xsi:type="dcterms:W3CDTF">2026-03-06T15:58:00Z</dcterms:created>
  <dcterms:modified xsi:type="dcterms:W3CDTF">2026-03-06T16:42:00Z</dcterms:modified>
</cp:coreProperties>
</file>