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46EA7" w14:paraId="347E186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60" w14:textId="77777777" w:rsidR="00B46EA7" w:rsidRDefault="00000000">
            <w:r>
              <w:rPr>
                <w:b/>
                <w:bCs/>
                <w:sz w:val="20"/>
                <w:szCs w:val="20"/>
              </w:rPr>
              <w:t>Document ID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61" w14:textId="77777777" w:rsidR="00B46EA7" w:rsidRDefault="00000000">
            <w:r>
              <w:rPr>
                <w:sz w:val="20"/>
                <w:szCs w:val="20"/>
              </w:rPr>
              <w:t>OG-002</w:t>
            </w:r>
          </w:p>
        </w:tc>
      </w:tr>
      <w:tr w:rsidR="00B46EA7" w14:paraId="347E186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63" w14:textId="77777777" w:rsidR="00B46EA7" w:rsidRDefault="00000000">
            <w:r>
              <w:rPr>
                <w:b/>
                <w:bCs/>
                <w:sz w:val="20"/>
                <w:szCs w:val="20"/>
              </w:rPr>
              <w:t>Version</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64" w14:textId="77777777" w:rsidR="00B46EA7" w:rsidRDefault="00000000">
            <w:r>
              <w:rPr>
                <w:sz w:val="20"/>
                <w:szCs w:val="20"/>
              </w:rPr>
              <w:t>2.0</w:t>
            </w:r>
          </w:p>
        </w:tc>
      </w:tr>
      <w:tr w:rsidR="00B46EA7" w14:paraId="347E186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66" w14:textId="77777777" w:rsidR="00B46EA7" w:rsidRDefault="00000000">
            <w:r>
              <w:rPr>
                <w:b/>
                <w:bCs/>
                <w:sz w:val="20"/>
                <w:szCs w:val="20"/>
              </w:rPr>
              <w:t>Title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67" w14:textId="77777777" w:rsidR="00B46EA7" w:rsidRDefault="00000000">
            <w:r>
              <w:rPr>
                <w:sz w:val="20"/>
                <w:szCs w:val="20"/>
              </w:rPr>
              <w:t>Commonwealth Balance Sheet Compilation</w:t>
            </w:r>
          </w:p>
        </w:tc>
      </w:tr>
      <w:tr w:rsidR="00B46EA7" w14:paraId="347E186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69" w14:textId="77777777" w:rsidR="00B46EA7" w:rsidRDefault="00000000">
            <w:r>
              <w:rPr>
                <w:b/>
                <w:bCs/>
                <w:sz w:val="20"/>
                <w:szCs w:val="20"/>
              </w:rPr>
              <w:t>Date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6A" w14:textId="77777777" w:rsidR="00B46EA7" w:rsidRDefault="00000000">
            <w:r>
              <w:rPr>
                <w:sz w:val="20"/>
                <w:szCs w:val="20"/>
              </w:rPr>
              <w:t>8 March 2026</w:t>
            </w:r>
          </w:p>
        </w:tc>
      </w:tr>
      <w:tr w:rsidR="00B46EA7" w14:paraId="347E186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6C" w14:textId="77777777" w:rsidR="00B46EA7" w:rsidRDefault="00000000">
            <w:r>
              <w:rPr>
                <w:b/>
                <w:bCs/>
                <w:sz w:val="20"/>
                <w:szCs w:val="20"/>
              </w:rPr>
              <w:t>Series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6D" w14:textId="77777777" w:rsidR="00B46EA7" w:rsidRDefault="00000000">
            <w:r>
              <w:rPr>
                <w:sz w:val="20"/>
                <w:szCs w:val="20"/>
              </w:rPr>
              <w:t>Operational Guidelines</w:t>
            </w:r>
          </w:p>
        </w:tc>
      </w:tr>
      <w:tr w:rsidR="00B46EA7" w14:paraId="347E187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6F" w14:textId="77777777" w:rsidR="00B46EA7" w:rsidRDefault="00000000">
            <w:r>
              <w:rPr>
                <w:b/>
                <w:bCs/>
                <w:sz w:val="20"/>
                <w:szCs w:val="20"/>
              </w:rPr>
              <w:t>Status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70" w14:textId="77777777" w:rsidR="00B46EA7" w:rsidRDefault="00000000">
            <w:r>
              <w:rPr>
                <w:sz w:val="20"/>
                <w:szCs w:val="20"/>
              </w:rPr>
              <w:t>Active</w:t>
            </w:r>
          </w:p>
        </w:tc>
      </w:tr>
      <w:tr w:rsidR="00B46EA7" w14:paraId="347E187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72" w14:textId="77777777" w:rsidR="00B46EA7" w:rsidRDefault="00000000">
            <w:r>
              <w:rPr>
                <w:b/>
                <w:bCs/>
                <w:sz w:val="20"/>
                <w:szCs w:val="20"/>
              </w:rPr>
              <w:t>Supersedes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73" w14:textId="77777777" w:rsidR="00B46EA7" w:rsidRDefault="00000000">
            <w:r>
              <w:rPr>
                <w:sz w:val="20"/>
                <w:szCs w:val="20"/>
              </w:rPr>
              <w:t>MEP_Redux_Adjusted_Database.xlsx (quinquennial only)</w:t>
            </w:r>
          </w:p>
        </w:tc>
      </w:tr>
      <w:tr w:rsidR="00B46EA7" w14:paraId="347E187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75" w14:textId="77777777" w:rsidR="00B46EA7" w:rsidRDefault="00000000">
            <w:r>
              <w:rPr>
                <w:b/>
                <w:bCs/>
                <w:sz w:val="20"/>
                <w:szCs w:val="20"/>
              </w:rPr>
              <w:t>Related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76" w14:textId="77777777" w:rsidR="00B46EA7" w:rsidRDefault="00000000">
            <w:r>
              <w:rPr>
                <w:sz w:val="20"/>
                <w:szCs w:val="20"/>
              </w:rPr>
              <w:t>OG-001, TD-001, WP-001</w:t>
            </w:r>
          </w:p>
        </w:tc>
      </w:tr>
    </w:tbl>
    <w:p w14:paraId="347E1878" w14:textId="77777777" w:rsidR="00B46EA7" w:rsidRDefault="00B46EA7">
      <w:pPr>
        <w:spacing w:after="200"/>
      </w:pPr>
    </w:p>
    <w:p w14:paraId="347E1879" w14:textId="77777777" w:rsidR="00B46EA7" w:rsidRDefault="00000000">
      <w:pPr>
        <w:spacing w:after="80"/>
        <w:jc w:val="center"/>
      </w:pPr>
      <w:r>
        <w:rPr>
          <w:b/>
          <w:bCs/>
          <w:sz w:val="36"/>
          <w:szCs w:val="36"/>
        </w:rPr>
        <w:t>Commonwealth Balance Sheet Compilation</w:t>
      </w:r>
    </w:p>
    <w:p w14:paraId="347E187A" w14:textId="77777777" w:rsidR="00B46EA7" w:rsidRDefault="00000000">
      <w:pPr>
        <w:spacing w:after="80"/>
        <w:jc w:val="center"/>
      </w:pPr>
      <w:r>
        <w:rPr>
          <w:i/>
          <w:iCs/>
          <w:sz w:val="26"/>
          <w:szCs w:val="26"/>
        </w:rPr>
        <w:t>A Four-Factor Wealth Framework with Risk Premium</w:t>
      </w:r>
    </w:p>
    <w:p w14:paraId="347E187B" w14:textId="77777777" w:rsidR="00B46EA7" w:rsidRDefault="00000000">
      <w:pPr>
        <w:spacing w:after="300"/>
        <w:jc w:val="center"/>
      </w:pPr>
      <w:r>
        <w:t>OconEco Operational Guideline OG-002, Version 2.0</w:t>
      </w:r>
    </w:p>
    <w:p w14:paraId="347E187C" w14:textId="77777777" w:rsidR="00B46EA7" w:rsidRDefault="00000000">
      <w:pPr>
        <w:pStyle w:val="Heading1"/>
      </w:pPr>
      <w:r>
        <w:t>Part I. The Compilation Process and Its Logic</w:t>
      </w:r>
    </w:p>
    <w:p w14:paraId="347E187D" w14:textId="77777777" w:rsidR="00B46EA7" w:rsidRDefault="00000000">
      <w:pPr>
        <w:pStyle w:val="Heading2"/>
        <w:spacing w:before="300" w:after="200"/>
      </w:pPr>
      <w:r>
        <w:t>1. Purpose</w:t>
      </w:r>
    </w:p>
    <w:p w14:paraId="347E187E" w14:textId="77777777" w:rsidR="00B46EA7" w:rsidRDefault="00000000">
      <w:pPr>
        <w:spacing w:after="200"/>
      </w:pPr>
      <w:r>
        <w:t>This guideline documents the twelve-step compilation of a per-capita balance sheet for 237 countries, covering 1950–2050 at annual resolution. The balance sheet recognizes four factors of production—Human Resources, Produced Capital, Natural Capital, and Social Infrastructure—whose sum equals “Commonwealth,” an income-capitalization annuity. Where Social Infrastructure falls below a critical mass, a risk premium and corresponding deferred-maintenance liability are computed, completing the double-entry presentation.</w:t>
      </w:r>
    </w:p>
    <w:p w14:paraId="347E187F" w14:textId="77777777" w:rsidR="00B46EA7" w:rsidRDefault="00000000">
      <w:pPr>
        <w:spacing w:after="200"/>
      </w:pPr>
      <w:r>
        <w:t>The purpose is threefold: to provide a replicable path for anyone wishing to reconstruct these accounts from publicly available data; to demonstrate what is visible from the vantage point these accounts afford; and to identify directions the work suggests for those who may wish to extend it.</w:t>
      </w:r>
    </w:p>
    <w:p w14:paraId="347E1880" w14:textId="77777777" w:rsidR="00B46EA7" w:rsidRDefault="00000000">
      <w:pPr>
        <w:pStyle w:val="Heading2"/>
        <w:spacing w:before="300" w:after="200"/>
      </w:pPr>
      <w:r>
        <w:t>2. Conceptual Foundation</w:t>
      </w:r>
    </w:p>
    <w:p w14:paraId="347E1881" w14:textId="77777777" w:rsidR="00B46EA7" w:rsidRDefault="00000000">
      <w:pPr>
        <w:spacing w:after="200"/>
      </w:pPr>
      <w:r>
        <w:t>The Commonwealth is not a sum of observed assets. It is an income-capitalization annuity: the future value of a society’s capacity to generate income over the remaining working life of its labor force, discounted at a base rate of 1.5 percent. The formula is:</w:t>
      </w:r>
    </w:p>
    <w:p w14:paraId="347E1882" w14:textId="77777777" w:rsidR="00B46EA7" w:rsidRDefault="00000000">
      <w:pPr>
        <w:spacing w:before="120" w:after="120"/>
        <w:ind w:left="720"/>
      </w:pPr>
      <w:r>
        <w:rPr>
          <w:rFonts w:ascii="Courier New" w:eastAsia="Courier New" w:hAnsi="Courier New" w:cs="Courier New"/>
          <w:sz w:val="20"/>
          <w:szCs w:val="20"/>
        </w:rPr>
        <w:t xml:space="preserve">Commonwealth pc = FV(0.015, T, −GNI pc × </w:t>
      </w:r>
      <w:proofErr w:type="spellStart"/>
      <w:r>
        <w:rPr>
          <w:rFonts w:ascii="Courier New" w:eastAsia="Courier New" w:hAnsi="Courier New" w:cs="Courier New"/>
          <w:sz w:val="20"/>
          <w:szCs w:val="20"/>
        </w:rPr>
        <w:t>Working%Pop</w:t>
      </w:r>
      <w:proofErr w:type="spellEnd"/>
      <w:r>
        <w:rPr>
          <w:rFonts w:ascii="Courier New" w:eastAsia="Courier New" w:hAnsi="Courier New" w:cs="Courier New"/>
          <w:sz w:val="20"/>
          <w:szCs w:val="20"/>
        </w:rPr>
        <w:t>)</w:t>
      </w:r>
    </w:p>
    <w:p w14:paraId="347E1883" w14:textId="77777777" w:rsidR="00B46EA7" w:rsidRDefault="00000000">
      <w:pPr>
        <w:spacing w:after="200"/>
      </w:pPr>
      <w:r>
        <w:t xml:space="preserve">where T is the remaining working years (65 minus the weighted average age of the labor force) and </w:t>
      </w:r>
      <w:proofErr w:type="spellStart"/>
      <w:r>
        <w:t>Working%Pop</w:t>
      </w:r>
      <w:proofErr w:type="spellEnd"/>
      <w:r>
        <w:t xml:space="preserve"> is the labor force share of total population.</w:t>
      </w:r>
    </w:p>
    <w:p w14:paraId="347E1884" w14:textId="77777777" w:rsidR="00B46EA7" w:rsidRDefault="00000000">
      <w:pPr>
        <w:spacing w:after="200"/>
      </w:pPr>
      <w:r>
        <w:t>This annuity is then decomposed into four factors of production. Three are directly observed in the World Bank’s Changing Wealth of Nations 2024: Human Resources (HR), Produced Capital or Physical Assets (PA), and Natural Capital (NC, split into nonrenewable and renewable). The fourth, Social Infrastructure (SI), is the residual:</w:t>
      </w:r>
    </w:p>
    <w:p w14:paraId="347E1885" w14:textId="77777777" w:rsidR="00B46EA7" w:rsidRDefault="00000000">
      <w:pPr>
        <w:spacing w:before="120" w:after="120"/>
        <w:ind w:left="720"/>
      </w:pPr>
      <w:r>
        <w:rPr>
          <w:rFonts w:ascii="Courier New" w:eastAsia="Courier New" w:hAnsi="Courier New" w:cs="Courier New"/>
          <w:sz w:val="20"/>
          <w:szCs w:val="20"/>
        </w:rPr>
        <w:t>SI pc = Commonwealth pc − HR pc − PA pc − NC pc</w:t>
      </w:r>
    </w:p>
    <w:p w14:paraId="347E1886" w14:textId="13D89EF4" w:rsidR="00B46EA7" w:rsidRDefault="00000000">
      <w:pPr>
        <w:spacing w:after="200"/>
      </w:pPr>
      <w:r>
        <w:lastRenderedPageBreak/>
        <w:t xml:space="preserve">The residual captures what cannot </w:t>
      </w:r>
      <w:r w:rsidR="00C71296">
        <w:t xml:space="preserve">be </w:t>
      </w:r>
      <w:r>
        <w:t>directly observe but whose effects are visible in income: the institutional arrangements, trust networks, information loops, and social norms that enable the other three factors to mesh efficiently. In Espeland and Stevens’ vocabulary, the observable subcomponents are commensurate—reduced to a common current-dollar metric—while the residual represents the incommensurable remainder.</w:t>
      </w:r>
      <w:r>
        <w:rPr>
          <w:rStyle w:val="FootnoteReference"/>
        </w:rPr>
        <w:footnoteReference w:id="1"/>
      </w:r>
    </w:p>
    <w:p w14:paraId="347E1887" w14:textId="77777777" w:rsidR="00B46EA7" w:rsidRDefault="00000000">
      <w:pPr>
        <w:pStyle w:val="Heading2"/>
        <w:spacing w:before="300" w:after="200"/>
      </w:pPr>
      <w:r>
        <w:t>3. The Twelve Steps</w:t>
      </w:r>
    </w:p>
    <w:p w14:paraId="347E1888" w14:textId="77777777" w:rsidR="00B46EA7" w:rsidRDefault="00000000">
      <w:pPr>
        <w:spacing w:after="200"/>
      </w:pPr>
      <w:r>
        <w:t xml:space="preserve">The compilation proceeds in twelve steps. Each has a corresponding Python build script in </w:t>
      </w:r>
      <w:proofErr w:type="spellStart"/>
      <w:r>
        <w:t>C_Technical</w:t>
      </w:r>
      <w:proofErr w:type="spellEnd"/>
      <w:r>
        <w:t>/</w:t>
      </w:r>
      <w:proofErr w:type="spellStart"/>
      <w:r>
        <w:t>Build_Scripts</w:t>
      </w:r>
      <w:proofErr w:type="spellEnd"/>
      <w:r>
        <w:t>/</w:t>
      </w:r>
      <w:proofErr w:type="spellStart"/>
      <w:r>
        <w:t>MEP_Redux</w:t>
      </w:r>
      <w:proofErr w:type="spellEnd"/>
      <w:r>
        <w:t>/, enabling full replication from source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3600"/>
        <w:gridCol w:w="2460"/>
      </w:tblGrid>
      <w:tr w:rsidR="00B46EA7" w14:paraId="347E188D"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7E1889" w14:textId="77777777" w:rsidR="00B46EA7" w:rsidRDefault="00000000">
            <w:r>
              <w:rPr>
                <w:b/>
                <w:bCs/>
                <w:color w:val="FFFFFF"/>
                <w:sz w:val="20"/>
                <w:szCs w:val="20"/>
              </w:rPr>
              <w:t>Step</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7E188A" w14:textId="77777777" w:rsidR="00B46EA7" w:rsidRDefault="00000000">
            <w:r>
              <w:rPr>
                <w:b/>
                <w:bCs/>
                <w:color w:val="FFFFFF"/>
                <w:sz w:val="20"/>
                <w:szCs w:val="20"/>
              </w:rPr>
              <w:t>Operation</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7E188B" w14:textId="77777777" w:rsidR="00B46EA7" w:rsidRDefault="00000000">
            <w:r>
              <w:rPr>
                <w:b/>
                <w:bCs/>
                <w:color w:val="FFFFFF"/>
                <w:sz w:val="20"/>
                <w:szCs w:val="20"/>
              </w:rPr>
              <w:t>Description</w:t>
            </w:r>
          </w:p>
        </w:tc>
        <w:tc>
          <w:tcPr>
            <w:tcW w:w="24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7E188C" w14:textId="77777777" w:rsidR="00B46EA7" w:rsidRDefault="00000000">
            <w:r>
              <w:rPr>
                <w:b/>
                <w:bCs/>
                <w:color w:val="FFFFFF"/>
                <w:sz w:val="20"/>
                <w:szCs w:val="20"/>
              </w:rPr>
              <w:t>Source / Vintage</w:t>
            </w:r>
          </w:p>
        </w:tc>
      </w:tr>
      <w:tr w:rsidR="00B46EA7" w14:paraId="347E1892"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8E" w14:textId="77777777" w:rsidR="00B46EA7" w:rsidRDefault="00000000">
            <w:r>
              <w:rPr>
                <w:sz w:val="20"/>
                <w:szCs w:val="20"/>
              </w:rPr>
              <w:t>1–3</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8F" w14:textId="77777777" w:rsidR="00B46EA7" w:rsidRDefault="00000000">
            <w:r>
              <w:rPr>
                <w:sz w:val="20"/>
                <w:szCs w:val="20"/>
              </w:rPr>
              <w:t>Initialize workbook</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90" w14:textId="77777777" w:rsidR="00B46EA7" w:rsidRDefault="00000000">
            <w:r>
              <w:rPr>
                <w:sz w:val="20"/>
                <w:szCs w:val="20"/>
              </w:rPr>
              <w:t>Create 237-country roster, column layout (1950–2050), vintage registry</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91" w14:textId="77777777" w:rsidR="00B46EA7" w:rsidRDefault="00000000">
            <w:r>
              <w:rPr>
                <w:sz w:val="20"/>
                <w:szCs w:val="20"/>
              </w:rPr>
              <w:t>A: Personal authority</w:t>
            </w:r>
          </w:p>
        </w:tc>
      </w:tr>
      <w:tr w:rsidR="00B46EA7" w14:paraId="347E1897"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93" w14:textId="77777777" w:rsidR="00B46EA7"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94" w14:textId="77777777" w:rsidR="00B46EA7" w:rsidRDefault="00000000">
            <w:r>
              <w:rPr>
                <w:sz w:val="20"/>
                <w:szCs w:val="20"/>
              </w:rPr>
              <w:t>Vintage tagging</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95" w14:textId="77777777" w:rsidR="00B46EA7" w:rsidRDefault="00000000">
            <w:r>
              <w:rPr>
                <w:sz w:val="20"/>
                <w:szCs w:val="20"/>
              </w:rPr>
              <w:t>Tag each cell with provenance letter (A–D)</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96" w14:textId="77777777" w:rsidR="00B46EA7" w:rsidRDefault="00000000">
            <w:r>
              <w:rPr>
                <w:sz w:val="20"/>
                <w:szCs w:val="20"/>
              </w:rPr>
              <w:t>A</w:t>
            </w:r>
          </w:p>
        </w:tc>
      </w:tr>
      <w:tr w:rsidR="00B46EA7" w14:paraId="347E189C"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98" w14:textId="77777777" w:rsidR="00B46EA7" w:rsidRDefault="00000000">
            <w:r>
              <w:rPr>
                <w:sz w:val="20"/>
                <w:szCs w:val="20"/>
              </w:rPr>
              <w:t>5–6</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99" w14:textId="77777777" w:rsidR="00B46EA7" w:rsidRDefault="00000000">
            <w:r>
              <w:rPr>
                <w:sz w:val="20"/>
                <w:szCs w:val="20"/>
              </w:rPr>
              <w:t>Demographics</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9A" w14:textId="77777777" w:rsidR="00B46EA7" w:rsidRDefault="00000000">
            <w:r>
              <w:rPr>
                <w:sz w:val="20"/>
                <w:szCs w:val="20"/>
              </w:rPr>
              <w:t>Seven population bands (</w:t>
            </w:r>
            <w:proofErr w:type="spellStart"/>
            <w:r>
              <w:rPr>
                <w:sz w:val="20"/>
                <w:szCs w:val="20"/>
              </w:rPr>
              <w:t>PreSchool</w:t>
            </w:r>
            <w:proofErr w:type="spellEnd"/>
            <w:r>
              <w:rPr>
                <w:sz w:val="20"/>
                <w:szCs w:val="20"/>
              </w:rPr>
              <w:t xml:space="preserve"> through Seniors), </w:t>
            </w:r>
            <w:proofErr w:type="spellStart"/>
            <w:r>
              <w:rPr>
                <w:sz w:val="20"/>
                <w:szCs w:val="20"/>
              </w:rPr>
              <w:t>Working%Pop</w:t>
            </w:r>
            <w:proofErr w:type="spellEnd"/>
            <w:r>
              <w:rPr>
                <w:sz w:val="20"/>
                <w:szCs w:val="20"/>
              </w:rPr>
              <w:t>, Av Age Labor Force, Remaining Work Years from WPP single-age data</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9B" w14:textId="77777777" w:rsidR="00B46EA7" w:rsidRDefault="00000000">
            <w:r>
              <w:rPr>
                <w:sz w:val="20"/>
                <w:szCs w:val="20"/>
              </w:rPr>
              <w:t>B: WPP 2024</w:t>
            </w:r>
          </w:p>
        </w:tc>
      </w:tr>
      <w:tr w:rsidR="00B46EA7" w14:paraId="347E18A1"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9D" w14:textId="77777777" w:rsidR="00B46EA7" w:rsidRDefault="00000000">
            <w:r>
              <w:rPr>
                <w:sz w:val="20"/>
                <w:szCs w:val="20"/>
              </w:rPr>
              <w:t>7–8</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9E" w14:textId="77777777" w:rsidR="00B46EA7" w:rsidRDefault="00000000">
            <w:r>
              <w:rPr>
                <w:sz w:val="20"/>
                <w:szCs w:val="20"/>
              </w:rPr>
              <w:t>GNI merge</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9F" w14:textId="77777777" w:rsidR="00B46EA7" w:rsidRDefault="00000000">
            <w:r>
              <w:rPr>
                <w:sz w:val="20"/>
                <w:szCs w:val="20"/>
              </w:rPr>
              <w:t>Splice WDI actuals (1960–2023) with IMF WEO projections (2024–2030); compute GNI Per Capita = GNI / Pop</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A0" w14:textId="77777777" w:rsidR="00B46EA7" w:rsidRDefault="00000000">
            <w:r>
              <w:rPr>
                <w:sz w:val="20"/>
                <w:szCs w:val="20"/>
              </w:rPr>
              <w:t>B: WDI + C: IMF WEO</w:t>
            </w:r>
          </w:p>
        </w:tc>
      </w:tr>
      <w:tr w:rsidR="00B46EA7" w14:paraId="347E18A6"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A2" w14:textId="77777777" w:rsidR="00B46EA7" w:rsidRDefault="00000000">
            <w:r>
              <w:rPr>
                <w:sz w:val="20"/>
                <w:szCs w:val="20"/>
              </w:rPr>
              <w:t>9</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A3" w14:textId="77777777" w:rsidR="00B46EA7" w:rsidRDefault="00000000">
            <w:r>
              <w:rPr>
                <w:sz w:val="20"/>
                <w:szCs w:val="20"/>
              </w:rPr>
              <w:t>CWoN subcomponents</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A4" w14:textId="77777777" w:rsidR="00B46EA7" w:rsidRDefault="00000000">
            <w:r>
              <w:rPr>
                <w:sz w:val="20"/>
                <w:szCs w:val="20"/>
              </w:rPr>
              <w:t>Import six CWoN total series (1995–2020), derive per-capita by dividing by our Pop</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A5" w14:textId="77777777" w:rsidR="00B46EA7" w:rsidRDefault="00000000">
            <w:r>
              <w:rPr>
                <w:sz w:val="20"/>
                <w:szCs w:val="20"/>
              </w:rPr>
              <w:t>D: CWoN 2024</w:t>
            </w:r>
          </w:p>
        </w:tc>
      </w:tr>
      <w:tr w:rsidR="00B46EA7" w14:paraId="347E18AB"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A7" w14:textId="77777777" w:rsidR="00B46EA7" w:rsidRDefault="00000000">
            <w:r>
              <w:rPr>
                <w:sz w:val="20"/>
                <w:szCs w:val="20"/>
              </w:rPr>
              <w:t>9b</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A8" w14:textId="77777777" w:rsidR="00B46EA7" w:rsidRDefault="00000000">
            <w:r>
              <w:rPr>
                <w:sz w:val="20"/>
                <w:szCs w:val="20"/>
              </w:rPr>
              <w:t>Commonwealth &amp; SI</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A9" w14:textId="77777777" w:rsidR="00B46EA7" w:rsidRDefault="00000000">
            <w:r>
              <w:rPr>
                <w:sz w:val="20"/>
                <w:szCs w:val="20"/>
              </w:rPr>
              <w:t>Compute Commonwealth pc (FV annuity), then SI = CW − HR − PA − NC</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AA" w14:textId="77777777" w:rsidR="00B46EA7" w:rsidRDefault="00000000">
            <w:r>
              <w:rPr>
                <w:sz w:val="20"/>
                <w:szCs w:val="20"/>
              </w:rPr>
              <w:t>Formula + D</w:t>
            </w:r>
          </w:p>
        </w:tc>
      </w:tr>
      <w:tr w:rsidR="00B46EA7" w14:paraId="347E18B0"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AC" w14:textId="77777777" w:rsidR="00B46EA7" w:rsidRDefault="00000000">
            <w:r>
              <w:rPr>
                <w:sz w:val="20"/>
                <w:szCs w:val="20"/>
              </w:rPr>
              <w:t>10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AD" w14:textId="77777777" w:rsidR="00B46EA7" w:rsidRDefault="00000000">
            <w:r>
              <w:rPr>
                <w:sz w:val="20"/>
                <w:szCs w:val="20"/>
              </w:rPr>
              <w:t>Risk premium</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AE" w14:textId="77777777" w:rsidR="00B46EA7" w:rsidRDefault="00000000">
            <w:r>
              <w:rPr>
                <w:sz w:val="20"/>
                <w:szCs w:val="20"/>
              </w:rPr>
              <w:t>Where SI &lt; 20% of CW: raise CW, compute deferred maintenance and solve for risk premium</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AF" w14:textId="77777777" w:rsidR="00B46EA7" w:rsidRDefault="00000000">
            <w:r>
              <w:rPr>
                <w:sz w:val="20"/>
                <w:szCs w:val="20"/>
              </w:rPr>
              <w:t>D*: Derived</w:t>
            </w:r>
          </w:p>
        </w:tc>
      </w:tr>
      <w:tr w:rsidR="00B46EA7" w14:paraId="347E18B5"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B1" w14:textId="77777777" w:rsidR="00B46EA7" w:rsidRDefault="00000000">
            <w:r>
              <w:rPr>
                <w:sz w:val="20"/>
                <w:szCs w:val="20"/>
              </w:rPr>
              <w:t>11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B2" w14:textId="77777777" w:rsidR="00B46EA7" w:rsidRDefault="00000000">
            <w:r>
              <w:rPr>
                <w:sz w:val="20"/>
                <w:szCs w:val="20"/>
              </w:rPr>
              <w:t>Balance sheets</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B3" w14:textId="77777777" w:rsidR="00B46EA7" w:rsidRDefault="00000000">
            <w:r>
              <w:rPr>
                <w:sz w:val="20"/>
                <w:szCs w:val="20"/>
              </w:rPr>
              <w:t xml:space="preserve">Adjusted SI, Net Foreign, Net Worth = Adj CW + Net Foreign − Def </w:t>
            </w:r>
            <w:proofErr w:type="spellStart"/>
            <w:r>
              <w:rPr>
                <w:sz w:val="20"/>
                <w:szCs w:val="20"/>
              </w:rPr>
              <w:t>Maint</w:t>
            </w:r>
            <w:proofErr w:type="spellEnd"/>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B4" w14:textId="77777777" w:rsidR="00B46EA7" w:rsidRDefault="00000000">
            <w:r>
              <w:rPr>
                <w:sz w:val="20"/>
                <w:szCs w:val="20"/>
              </w:rPr>
              <w:t>D*: Derived</w:t>
            </w:r>
          </w:p>
        </w:tc>
      </w:tr>
      <w:tr w:rsidR="00B46EA7" w14:paraId="347E18BA"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B6" w14:textId="77777777" w:rsidR="00B46EA7" w:rsidRDefault="00000000">
            <w:r>
              <w:rPr>
                <w:sz w:val="20"/>
                <w:szCs w:val="20"/>
              </w:rPr>
              <w:t>12</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B7" w14:textId="77777777" w:rsidR="00B46EA7" w:rsidRDefault="00000000">
            <w:r>
              <w:rPr>
                <w:sz w:val="20"/>
                <w:szCs w:val="20"/>
              </w:rPr>
              <w:t>Observations</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B8" w14:textId="77777777" w:rsidR="00B46EA7" w:rsidRDefault="00000000">
            <w:r>
              <w:rPr>
                <w:sz w:val="20"/>
                <w:szCs w:val="20"/>
              </w:rPr>
              <w:t>Compile analytical tables, key findings, cross-country comparisons</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B9" w14:textId="77777777" w:rsidR="00B46EA7" w:rsidRDefault="00000000">
            <w:r>
              <w:rPr>
                <w:sz w:val="20"/>
                <w:szCs w:val="20"/>
              </w:rPr>
              <w:t>All</w:t>
            </w:r>
          </w:p>
        </w:tc>
      </w:tr>
    </w:tbl>
    <w:p w14:paraId="347E18BB" w14:textId="77777777" w:rsidR="00B46EA7" w:rsidRDefault="00000000">
      <w:pPr>
        <w:pStyle w:val="Heading3"/>
        <w:spacing w:before="300" w:after="200"/>
      </w:pPr>
      <w:r>
        <w:t>3.1 Numerator and Denominator Separation</w:t>
      </w:r>
    </w:p>
    <w:p w14:paraId="347E18BC" w14:textId="45C95DCC" w:rsidR="00B46EA7" w:rsidRDefault="00000000">
      <w:pPr>
        <w:spacing w:after="200"/>
      </w:pPr>
      <w:r>
        <w:t xml:space="preserve">A critical design decision was to import CWoN wealth components as totals (e.g., NW.HCA.TO.CD, not NW.HCA.PC.CD) and derive per capita figures by dividing by WPP population. This prevents conflation of two distinct analytical questions: what the numerator (the wealth concept) contains, and what the denominator (the population concept) assumes. </w:t>
      </w:r>
      <w:r>
        <w:lastRenderedPageBreak/>
        <w:t>CWoN’s internal population figures may differ from WPP; by using a single consistent denominator throughout, the balance sheet preserves internal consistency.</w:t>
      </w:r>
    </w:p>
    <w:p w14:paraId="347E18BD" w14:textId="77777777" w:rsidR="00B46EA7" w:rsidRDefault="00000000">
      <w:pPr>
        <w:pStyle w:val="Heading3"/>
        <w:spacing w:before="300" w:after="200"/>
      </w:pPr>
      <w:r>
        <w:t>3.2 Annual-First Architecture</w:t>
      </w:r>
    </w:p>
    <w:p w14:paraId="347E18BE" w14:textId="77777777" w:rsidR="00B46EA7" w:rsidRDefault="00000000">
      <w:pPr>
        <w:spacing w:after="200"/>
      </w:pPr>
      <w:r>
        <w:t>The compilation produces two workbooks from the same build pipeline. The Annual workbook (101 columns, 1950–2050) is the authority; the Quinquennial workbook (21 columns, 1950–2050 by fives) is derived via centered five-year averaging. Annual data serve as units of observation; quinquennials serve as units of analysis. The annual workbook is the expert-facing product; the quinquennial is the public-facing offering. Both have 47 tabs with identical structure and a hyperlinked Summary tab.</w:t>
      </w:r>
    </w:p>
    <w:p w14:paraId="347E18BF" w14:textId="77777777" w:rsidR="00B46EA7" w:rsidRDefault="00000000">
      <w:pPr>
        <w:pStyle w:val="Heading3"/>
        <w:spacing w:before="300" w:after="200"/>
      </w:pPr>
      <w:r>
        <w:t>3.3 The Risk Premium Mechanism</w:t>
      </w:r>
    </w:p>
    <w:p w14:paraId="347E18C0" w14:textId="77777777" w:rsidR="00B46EA7" w:rsidRDefault="00000000">
      <w:pPr>
        <w:spacing w:after="200"/>
      </w:pPr>
      <w:r>
        <w:t>When the SI residual falls below 20 percent of Commonwealth, the society’s social infrastructure is deemed insufficient for its other factors of production to mesh efficiently. Investment in such places carries additional risk above the base 1.5 percent discount rate. The adjustment mechanism:</w:t>
      </w:r>
    </w:p>
    <w:p w14:paraId="347E18C1" w14:textId="77777777" w:rsidR="00B46EA7" w:rsidRDefault="00000000">
      <w:pPr>
        <w:pStyle w:val="ListParagraph"/>
        <w:numPr>
          <w:ilvl w:val="0"/>
          <w:numId w:val="2"/>
        </w:numPr>
      </w:pPr>
      <w:r>
        <w:t xml:space="preserve">Set </w:t>
      </w:r>
      <w:proofErr w:type="spellStart"/>
      <w:r>
        <w:t>CW_adj</w:t>
      </w:r>
      <w:proofErr w:type="spellEnd"/>
      <w:r>
        <w:t xml:space="preserve"> = Bottom / 0.80, where Bottom = HR + PA + NC, so that SI = 20% of the adjusted total.</w:t>
      </w:r>
    </w:p>
    <w:p w14:paraId="347E18C2" w14:textId="77777777" w:rsidR="00B46EA7" w:rsidRDefault="00000000">
      <w:pPr>
        <w:pStyle w:val="ListParagraph"/>
        <w:numPr>
          <w:ilvl w:val="0"/>
          <w:numId w:val="2"/>
        </w:numPr>
      </w:pPr>
      <w:r>
        <w:t xml:space="preserve">Deferred Maintenance = </w:t>
      </w:r>
      <w:proofErr w:type="spellStart"/>
      <w:r>
        <w:t>CW_adj</w:t>
      </w:r>
      <w:proofErr w:type="spellEnd"/>
      <w:r>
        <w:t xml:space="preserve"> − </w:t>
      </w:r>
      <w:proofErr w:type="spellStart"/>
      <w:r>
        <w:t>CW_orig</w:t>
      </w:r>
      <w:proofErr w:type="spellEnd"/>
      <w:r>
        <w:t>: the liability representing underinvestment in social fabric.</w:t>
      </w:r>
    </w:p>
    <w:p w14:paraId="347E18C3" w14:textId="77777777" w:rsidR="00B46EA7" w:rsidRDefault="00000000">
      <w:pPr>
        <w:pStyle w:val="ListParagraph"/>
        <w:numPr>
          <w:ilvl w:val="0"/>
          <w:numId w:val="2"/>
        </w:numPr>
      </w:pPr>
      <w:r>
        <w:t>Solve FV(</w:t>
      </w:r>
      <w:proofErr w:type="spellStart"/>
      <w:r>
        <w:t>r_adj</w:t>
      </w:r>
      <w:proofErr w:type="spellEnd"/>
      <w:r>
        <w:t xml:space="preserve">, T, </w:t>
      </w:r>
      <w:proofErr w:type="spellStart"/>
      <w:r>
        <w:t>pmt</w:t>
      </w:r>
      <w:proofErr w:type="spellEnd"/>
      <w:r>
        <w:t xml:space="preserve">) = </w:t>
      </w:r>
      <w:proofErr w:type="spellStart"/>
      <w:r>
        <w:t>CW_adj</w:t>
      </w:r>
      <w:proofErr w:type="spellEnd"/>
      <w:r>
        <w:t xml:space="preserve"> for </w:t>
      </w:r>
      <w:proofErr w:type="spellStart"/>
      <w:r>
        <w:t>r_adj</w:t>
      </w:r>
      <w:proofErr w:type="spellEnd"/>
      <w:r>
        <w:t xml:space="preserve"> using Brent’s method; Risk Premium = </w:t>
      </w:r>
      <w:proofErr w:type="spellStart"/>
      <w:r>
        <w:t>r_adj</w:t>
      </w:r>
      <w:proofErr w:type="spellEnd"/>
      <w:r>
        <w:t xml:space="preserve"> − 0.015.</w:t>
      </w:r>
    </w:p>
    <w:p w14:paraId="347E18C4" w14:textId="77777777" w:rsidR="00B46EA7" w:rsidRDefault="00000000">
      <w:pPr>
        <w:spacing w:after="200"/>
      </w:pPr>
      <w:r>
        <w:t>The 20 percent floor represents the minimum SI share observed consistently among high-income nations; the United States ranges 27–35 percent throughout the CWoN time slice (1995–2020). Of 3,884 country-year observations, 2,913 (75 percent) clear the floor without adjustment; 971 (25 percent) require a risk premium averaging 1.88 percentage points.</w:t>
      </w:r>
    </w:p>
    <w:p w14:paraId="347E18C5" w14:textId="77777777" w:rsidR="00B46EA7" w:rsidRDefault="00000000">
      <w:pPr>
        <w:pStyle w:val="Heading3"/>
        <w:spacing w:before="300" w:after="200"/>
      </w:pPr>
      <w:r>
        <w:t>3.4 The Balance Sheet Identity</w:t>
      </w:r>
    </w:p>
    <w:p w14:paraId="347E18C6" w14:textId="77777777" w:rsidR="00B46EA7" w:rsidRDefault="00000000">
      <w:pPr>
        <w:spacing w:after="200"/>
      </w:pPr>
      <w:r>
        <w:t>The completed balance sheet obeys a double-entry identity:</w:t>
      </w:r>
    </w:p>
    <w:p w14:paraId="347E18C7" w14:textId="77777777" w:rsidR="00B46EA7" w:rsidRDefault="00000000">
      <w:pPr>
        <w:spacing w:before="120" w:after="120"/>
        <w:ind w:left="720"/>
      </w:pPr>
      <w:r>
        <w:rPr>
          <w:rFonts w:ascii="Courier New" w:eastAsia="Courier New" w:hAnsi="Courier New" w:cs="Courier New"/>
          <w:sz w:val="20"/>
          <w:szCs w:val="20"/>
        </w:rPr>
        <w:t>Total Assets  = Adjusted CW pc + Foreign Assets pc</w:t>
      </w:r>
    </w:p>
    <w:p w14:paraId="347E18C8" w14:textId="77777777" w:rsidR="00B46EA7" w:rsidRDefault="00000000">
      <w:pPr>
        <w:spacing w:before="120" w:after="120"/>
        <w:ind w:left="720"/>
      </w:pPr>
      <w:r>
        <w:rPr>
          <w:rFonts w:ascii="Courier New" w:eastAsia="Courier New" w:hAnsi="Courier New" w:cs="Courier New"/>
          <w:sz w:val="20"/>
          <w:szCs w:val="20"/>
        </w:rPr>
        <w:t xml:space="preserve">Total </w:t>
      </w:r>
      <w:proofErr w:type="spellStart"/>
      <w:r>
        <w:rPr>
          <w:rFonts w:ascii="Courier New" w:eastAsia="Courier New" w:hAnsi="Courier New" w:cs="Courier New"/>
          <w:sz w:val="20"/>
          <w:szCs w:val="20"/>
        </w:rPr>
        <w:t>Liabs</w:t>
      </w:r>
      <w:proofErr w:type="spellEnd"/>
      <w:r>
        <w:rPr>
          <w:rFonts w:ascii="Courier New" w:eastAsia="Courier New" w:hAnsi="Courier New" w:cs="Courier New"/>
          <w:sz w:val="20"/>
          <w:szCs w:val="20"/>
        </w:rPr>
        <w:t xml:space="preserve">   = Def </w:t>
      </w:r>
      <w:proofErr w:type="spellStart"/>
      <w:r>
        <w:rPr>
          <w:rFonts w:ascii="Courier New" w:eastAsia="Courier New" w:hAnsi="Courier New" w:cs="Courier New"/>
          <w:sz w:val="20"/>
          <w:szCs w:val="20"/>
        </w:rPr>
        <w:t>Maint</w:t>
      </w:r>
      <w:proofErr w:type="spellEnd"/>
      <w:r>
        <w:rPr>
          <w:rFonts w:ascii="Courier New" w:eastAsia="Courier New" w:hAnsi="Courier New" w:cs="Courier New"/>
          <w:sz w:val="20"/>
          <w:szCs w:val="20"/>
        </w:rPr>
        <w:t xml:space="preserve"> SI + Foreign </w:t>
      </w:r>
      <w:proofErr w:type="spellStart"/>
      <w:r>
        <w:rPr>
          <w:rFonts w:ascii="Courier New" w:eastAsia="Courier New" w:hAnsi="Courier New" w:cs="Courier New"/>
          <w:sz w:val="20"/>
          <w:szCs w:val="20"/>
        </w:rPr>
        <w:t>Liabs</w:t>
      </w:r>
      <w:proofErr w:type="spellEnd"/>
      <w:r>
        <w:rPr>
          <w:rFonts w:ascii="Courier New" w:eastAsia="Courier New" w:hAnsi="Courier New" w:cs="Courier New"/>
          <w:sz w:val="20"/>
          <w:szCs w:val="20"/>
        </w:rPr>
        <w:t xml:space="preserve"> pc</w:t>
      </w:r>
    </w:p>
    <w:p w14:paraId="347E18C9" w14:textId="77777777" w:rsidR="00B46EA7" w:rsidRDefault="00000000">
      <w:pPr>
        <w:spacing w:before="120" w:after="120"/>
        <w:ind w:left="720"/>
      </w:pPr>
      <w:r>
        <w:rPr>
          <w:rFonts w:ascii="Courier New" w:eastAsia="Courier New" w:hAnsi="Courier New" w:cs="Courier New"/>
          <w:sz w:val="20"/>
          <w:szCs w:val="20"/>
        </w:rPr>
        <w:t>Net Worth pc  = Total Assets − Total Liabilities</w:t>
      </w:r>
    </w:p>
    <w:p w14:paraId="347E18CA" w14:textId="77777777" w:rsidR="00B46EA7" w:rsidRDefault="00000000">
      <w:pPr>
        <w:spacing w:after="200"/>
      </w:pPr>
      <w:r>
        <w:t xml:space="preserve">For a country whose SI exceeds 20 percent (the “Original” case), Def </w:t>
      </w:r>
      <w:proofErr w:type="spellStart"/>
      <w:r>
        <w:t>Maint</w:t>
      </w:r>
      <w:proofErr w:type="spellEnd"/>
      <w:r>
        <w:t xml:space="preserve"> is zero, so Net Worth = Commonwealth pc + Net Foreign. For a country below the floor, the deferred maintenance liability exactly offsets the upward adjustment to CW, preserving the original Commonwealth in net terms while making the risk explicit.</w:t>
      </w:r>
    </w:p>
    <w:p w14:paraId="347E18CB" w14:textId="77777777" w:rsidR="00B46EA7" w:rsidRDefault="00000000">
      <w:r>
        <w:br w:type="page"/>
      </w:r>
    </w:p>
    <w:p w14:paraId="347E18CC" w14:textId="77777777" w:rsidR="00B46EA7" w:rsidRDefault="00000000">
      <w:pPr>
        <w:pStyle w:val="Heading1"/>
      </w:pPr>
      <w:r>
        <w:lastRenderedPageBreak/>
        <w:t>Part II. Implications for Bank Credits and Loans</w:t>
      </w:r>
    </w:p>
    <w:p w14:paraId="347E18CD" w14:textId="77777777" w:rsidR="00B46EA7" w:rsidRDefault="00000000">
      <w:pPr>
        <w:pStyle w:val="Heading2"/>
        <w:spacing w:before="300" w:after="200"/>
      </w:pPr>
      <w:r>
        <w:t>4. The Articles of Agreement, Read as a Balance Sheet</w:t>
      </w:r>
    </w:p>
    <w:p w14:paraId="347E18CE" w14:textId="6FDD75AE" w:rsidR="00B46EA7" w:rsidRDefault="00000000">
      <w:pPr>
        <w:spacing w:after="200"/>
      </w:pPr>
      <w:r>
        <w:t>The Bank’s Articles of Agreement do not mention “poverty alleviation,” “democracy,” or other desiderata. What they do specify is that the Bank lend</w:t>
      </w:r>
      <w:r w:rsidR="00425843">
        <w:t>s</w:t>
      </w:r>
      <w:r>
        <w:t xml:space="preserve"> when it “is satisfied that in the prevailing market conditions the borrower would be unable otherwise to obtain the loan under conditions which in the opinion of the Bank are reasonable for the borrower.”</w:t>
      </w:r>
      <w:r>
        <w:rPr>
          <w:rStyle w:val="FootnoteReference"/>
        </w:rPr>
        <w:footnoteReference w:id="2"/>
      </w:r>
      <w:r>
        <w:t xml:space="preserve"> The mandate is about access to capital at reasonable cost. Everything else—IDA eligibility, the four-tier preference scheme, the graduation threshold—is administrative interpretation of this core commitment.</w:t>
      </w:r>
      <w:r>
        <w:rPr>
          <w:rStyle w:val="FootnoteReference"/>
        </w:rPr>
        <w:footnoteReference w:id="3"/>
      </w:r>
    </w:p>
    <w:p w14:paraId="13673AC9" w14:textId="77777777" w:rsidR="00603F41" w:rsidRDefault="00000000">
      <w:pPr>
        <w:spacing w:after="200"/>
      </w:pPr>
      <w:r>
        <w:t xml:space="preserve">The balance sheet compiled here gives that mandate a quantitative frame. Countries </w:t>
      </w:r>
      <w:r w:rsidR="00C5700B">
        <w:t xml:space="preserve">with </w:t>
      </w:r>
      <w:r>
        <w:t>sufficient collateral</w:t>
      </w:r>
      <w:r w:rsidR="00826C3C">
        <w:t xml:space="preserve"> visible to those with loanable funds, </w:t>
      </w:r>
      <w:r w:rsidR="0035434C">
        <w:t xml:space="preserve">meaning high in </w:t>
      </w:r>
      <w:r>
        <w:t xml:space="preserve">produced assets and natural capital </w:t>
      </w:r>
      <w:r w:rsidR="0035434C">
        <w:t>per capital</w:t>
      </w:r>
      <w:r>
        <w:t>—</w:t>
      </w:r>
      <w:r w:rsidR="0035434C">
        <w:t xml:space="preserve">have </w:t>
      </w:r>
      <w:r>
        <w:t xml:space="preserve">access capital markets on their own terms. </w:t>
      </w:r>
      <w:r w:rsidR="0035434C">
        <w:t>They are not</w:t>
      </w:r>
      <w:r w:rsidR="00BC5F5F">
        <w:t xml:space="preserve"> excluded because they are high income but because they are high collateral cases. </w:t>
      </w:r>
    </w:p>
    <w:p w14:paraId="4DAFDEC9" w14:textId="677411E0" w:rsidR="00DC18B8" w:rsidRDefault="00000000">
      <w:pPr>
        <w:spacing w:after="200"/>
      </w:pPr>
      <w:r>
        <w:t xml:space="preserve">Countries </w:t>
      </w:r>
      <w:r w:rsidR="006A27D2">
        <w:t xml:space="preserve">with low endowments of </w:t>
      </w:r>
      <w:r w:rsidR="000A5DAF">
        <w:t xml:space="preserve">such collateral may still </w:t>
      </w:r>
      <w:r w:rsidR="00CF04D4">
        <w:t>be high income</w:t>
      </w:r>
      <w:r w:rsidR="0087301F">
        <w:t xml:space="preserve"> because they have invested </w:t>
      </w:r>
      <w:r w:rsidR="000A5DAF">
        <w:t xml:space="preserve">more, for longer, </w:t>
      </w:r>
      <w:r w:rsidR="0087301F">
        <w:t>in Human Resources (HR)</w:t>
      </w:r>
      <w:r w:rsidR="00603F41">
        <w:t xml:space="preserve">. </w:t>
      </w:r>
      <w:r w:rsidR="00430D6D" w:rsidRPr="00430D6D">
        <w:t>Were people purely homo economicus, standard agglomeration theory would predict their migration toward places richer in natural and produced assets — capital would not migrate to them.</w:t>
      </w:r>
      <w:r w:rsidR="00430D6D">
        <w:t xml:space="preserve"> </w:t>
      </w:r>
      <w:r w:rsidR="00567491" w:rsidRPr="00567491">
        <w:t>That they stay reveals homo heuristicus: people indulge place attachment.</w:t>
      </w:r>
    </w:p>
    <w:p w14:paraId="347E18CF" w14:textId="2FDF8C60" w:rsidR="00B46EA7" w:rsidRDefault="0064044D">
      <w:pPr>
        <w:spacing w:after="200"/>
      </w:pPr>
      <w:r>
        <w:t>M</w:t>
      </w:r>
      <w:r w:rsidR="006B3D9E">
        <w:t xml:space="preserve">EP </w:t>
      </w:r>
      <w:r>
        <w:t xml:space="preserve">Redux </w:t>
      </w:r>
      <w:r w:rsidR="00A9170D">
        <w:t xml:space="preserve">gauges </w:t>
      </w:r>
      <w:r w:rsidR="006B3D9E">
        <w:t>t</w:t>
      </w:r>
      <w:r>
        <w:t xml:space="preserve">he risk premium </w:t>
      </w:r>
      <w:r w:rsidR="00A9170D" w:rsidRPr="00A9170D">
        <w:rPr>
          <w:i/>
          <w:iCs/>
        </w:rPr>
        <w:t>within</w:t>
      </w:r>
      <w:r w:rsidR="00A9170D">
        <w:t xml:space="preserve"> the bundle of members </w:t>
      </w:r>
      <w:r>
        <w:t>who lack</w:t>
      </w:r>
      <w:r w:rsidR="00A9170D">
        <w:t xml:space="preserve"> reasonable</w:t>
      </w:r>
      <w:r>
        <w:t xml:space="preserve"> access to capital markets</w:t>
      </w:r>
      <w:r w:rsidR="00B265C5">
        <w:t xml:space="preserve"> because they seem to have</w:t>
      </w:r>
      <w:r>
        <w:t xml:space="preserve"> deferred maintenance</w:t>
      </w:r>
      <w:r w:rsidR="00B265C5">
        <w:t xml:space="preserve"> of</w:t>
      </w:r>
      <w:r w:rsidR="0014584A">
        <w:t xml:space="preserve"> SI, which</w:t>
      </w:r>
      <w:r w:rsidR="00AD697F">
        <w:t xml:space="preserve"> subsumes place attachment. </w:t>
      </w:r>
      <w:r>
        <w:t>The Bank’s intermediation consists of pooling these risks on behalf of members whose social infrastructure has not yet compressed the premium to a level private markets will accept.</w:t>
      </w:r>
    </w:p>
    <w:p w14:paraId="690C2E83" w14:textId="672E870C" w:rsidR="00E45839" w:rsidRDefault="00E45839">
      <w:pPr>
        <w:spacing w:after="200"/>
      </w:pPr>
      <w:r>
        <w:t xml:space="preserve">The computations are performed on all </w:t>
      </w:r>
      <w:r w:rsidR="0088684B">
        <w:t xml:space="preserve">countries but applicable only to Bank borrowers. Others </w:t>
      </w:r>
      <w:r w:rsidR="00DA20A1">
        <w:t>are stipulated as having</w:t>
      </w:r>
      <w:r w:rsidR="0088684B">
        <w:t xml:space="preserve"> reasonable access to </w:t>
      </w:r>
      <w:r w:rsidR="00DA20A1">
        <w:t>capital. Or fully graduated.</w:t>
      </w:r>
    </w:p>
    <w:p w14:paraId="347E18E8" w14:textId="0D219EB6" w:rsidR="00B46EA7" w:rsidRDefault="00000000">
      <w:pPr>
        <w:pStyle w:val="Heading3"/>
        <w:spacing w:before="300" w:after="200"/>
      </w:pPr>
      <w:r>
        <w:t>4.</w:t>
      </w:r>
      <w:r w:rsidR="00E45839">
        <w:t>1</w:t>
      </w:r>
      <w:r>
        <w:t xml:space="preserve"> Take-Off and the US of 1950</w:t>
      </w:r>
    </w:p>
    <w:p w14:paraId="347E18E9" w14:textId="2398AD56" w:rsidR="00B46EA7" w:rsidRDefault="00000000">
      <w:pPr>
        <w:spacing w:after="200"/>
      </w:pPr>
      <w:r>
        <w:t xml:space="preserve">Figure 5 in MEP Redux3x.docx uses real ICP/PWT International dollars to define take-off </w:t>
      </w:r>
      <w:r w:rsidR="005643BD">
        <w:t xml:space="preserve">from </w:t>
      </w:r>
      <w:r w:rsidR="00874CB4">
        <w:t>absolute poverty, say being as well off as</w:t>
      </w:r>
      <w:r>
        <w:t xml:space="preserve"> the United States was in 1950—when about a third of its own population was below </w:t>
      </w:r>
      <w:r w:rsidR="00080F67">
        <w:t>its</w:t>
      </w:r>
      <w:r>
        <w:t xml:space="preserve"> poverty line. This is not a high bar, but it is the standard the Bretton Woods signatories implicitly committed to when the Bank began lending beyond reconstruction. The High Income threshold that emerged from the 1989 graduation policy paper coincides with this level. A country that has achieved it should be able to access capital at reasonable cost without the Bank’s intermediation.</w:t>
      </w:r>
    </w:p>
    <w:p w14:paraId="347E18EA" w14:textId="77777777" w:rsidR="00B46EA7" w:rsidRDefault="00000000">
      <w:pPr>
        <w:spacing w:after="200"/>
      </w:pPr>
      <w:r>
        <w:t>The risk premium computation gives this threshold a balance-sheet expression. Countries above the SI floor have collateral; those below it are where the Bank pools risk and uncertainty. The four-tier preference scheme—IDA-Only, Blend, IBRD, Graduation—is a ladder of diminishing risk premiums, culminating in the Bank’s determination that its intermediation is no longer legally required under the Articles.</w:t>
      </w:r>
    </w:p>
    <w:p w14:paraId="347E18EB" w14:textId="41AFE35C" w:rsidR="00B46EA7" w:rsidRDefault="00000000">
      <w:pPr>
        <w:pStyle w:val="Heading3"/>
        <w:spacing w:before="300" w:after="200"/>
      </w:pPr>
      <w:r>
        <w:lastRenderedPageBreak/>
        <w:t>4.</w:t>
      </w:r>
      <w:r w:rsidR="00D363BE">
        <w:t>2</w:t>
      </w:r>
      <w:r>
        <w:t xml:space="preserve"> Where Risk Concentrates</w:t>
      </w:r>
    </w:p>
    <w:p w14:paraId="347E18EC" w14:textId="77777777" w:rsidR="00B46EA7" w:rsidRDefault="00000000">
      <w:pPr>
        <w:spacing w:after="200"/>
      </w:pPr>
      <w:r>
        <w:t>The risk premium concentrates overwhelmingly in low-income countries. In 2020: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1200"/>
        <w:gridCol w:w="1460"/>
        <w:gridCol w:w="1500"/>
      </w:tblGrid>
      <w:tr w:rsidR="00B46EA7" w14:paraId="347E18F3"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7E18ED" w14:textId="77777777" w:rsidR="00B46EA7" w:rsidRDefault="00000000">
            <w:r>
              <w:rPr>
                <w:b/>
                <w:bCs/>
                <w:color w:val="FFFFFF"/>
                <w:sz w:val="20"/>
                <w:szCs w:val="20"/>
              </w:rPr>
              <w:t>Income Group</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7E18EE" w14:textId="77777777" w:rsidR="00B46EA7" w:rsidRDefault="00000000">
            <w:r>
              <w:rPr>
                <w:b/>
                <w:bCs/>
                <w:color w:val="FFFFFF"/>
                <w:sz w:val="20"/>
                <w:szCs w:val="20"/>
              </w:rPr>
              <w:t>Countries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7E18EF" w14:textId="77777777" w:rsidR="00B46EA7" w:rsidRDefault="00000000">
            <w:r>
              <w:rPr>
                <w:b/>
                <w:bCs/>
                <w:color w:val="FFFFFF"/>
                <w:sz w:val="20"/>
                <w:szCs w:val="20"/>
              </w:rPr>
              <w:t>Adjusted</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7E18F0" w14:textId="77777777" w:rsidR="00B46EA7" w:rsidRDefault="00000000">
            <w:r>
              <w:rPr>
                <w:b/>
                <w:bCs/>
                <w:color w:val="FFFFFF"/>
                <w:sz w:val="20"/>
                <w:szCs w:val="20"/>
              </w:rPr>
              <w:t>% Adjusted</w:t>
            </w:r>
          </w:p>
        </w:tc>
        <w:tc>
          <w:tcPr>
            <w:tcW w:w="14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7E18F1" w14:textId="77777777" w:rsidR="00B46EA7" w:rsidRDefault="00000000">
            <w:r>
              <w:rPr>
                <w:b/>
                <w:bCs/>
                <w:color w:val="FFFFFF"/>
                <w:sz w:val="20"/>
                <w:szCs w:val="20"/>
              </w:rPr>
              <w:t>Mean RP</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7E18F2" w14:textId="77777777" w:rsidR="00B46EA7" w:rsidRDefault="00000000">
            <w:r>
              <w:rPr>
                <w:b/>
                <w:bCs/>
                <w:color w:val="FFFFFF"/>
                <w:sz w:val="20"/>
                <w:szCs w:val="20"/>
              </w:rPr>
              <w:t>Max RP</w:t>
            </w:r>
          </w:p>
        </w:tc>
      </w:tr>
      <w:tr w:rsidR="00B46EA7" w14:paraId="347E18FA"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F4" w14:textId="77777777" w:rsidR="00B46EA7" w:rsidRDefault="00000000">
            <w:r>
              <w:rPr>
                <w:sz w:val="20"/>
                <w:szCs w:val="20"/>
              </w:rPr>
              <w:t>High Income (&gt;$12k)</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F5" w14:textId="77777777" w:rsidR="00B46EA7" w:rsidRDefault="00000000">
            <w:pPr>
              <w:jc w:val="center"/>
            </w:pPr>
            <w:r>
              <w:rPr>
                <w:sz w:val="20"/>
                <w:szCs w:val="20"/>
              </w:rPr>
              <w:t>47</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F6" w14:textId="77777777" w:rsidR="00B46EA7" w:rsidRDefault="00000000">
            <w:pPr>
              <w:jc w:val="center"/>
            </w:pPr>
            <w:r>
              <w:rPr>
                <w:sz w:val="20"/>
                <w:szCs w:val="20"/>
              </w:rPr>
              <w:t>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F7" w14:textId="77777777" w:rsidR="00B46EA7" w:rsidRDefault="00000000">
            <w:pPr>
              <w:jc w:val="center"/>
            </w:pPr>
            <w:r>
              <w:rPr>
                <w:sz w:val="20"/>
                <w:szCs w:val="20"/>
              </w:rPr>
              <w:t>8.5%</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F8" w14:textId="77777777" w:rsidR="00B46EA7" w:rsidRDefault="00000000">
            <w:pPr>
              <w:jc w:val="center"/>
            </w:pPr>
            <w:r>
              <w:rPr>
                <w:sz w:val="20"/>
                <w:szCs w:val="20"/>
              </w:rPr>
              <w:t>0.07 pp</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F9" w14:textId="77777777" w:rsidR="00B46EA7" w:rsidRDefault="00000000">
            <w:pPr>
              <w:jc w:val="center"/>
            </w:pPr>
            <w:r>
              <w:rPr>
                <w:sz w:val="20"/>
                <w:szCs w:val="20"/>
              </w:rPr>
              <w:t>1.17 pp</w:t>
            </w:r>
          </w:p>
        </w:tc>
      </w:tr>
      <w:tr w:rsidR="00B46EA7" w14:paraId="347E1901"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FB" w14:textId="77777777" w:rsidR="00B46EA7" w:rsidRDefault="00000000">
            <w:r>
              <w:rPr>
                <w:sz w:val="20"/>
                <w:szCs w:val="20"/>
              </w:rPr>
              <w:t>Upper Middle ($4–12k)</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FC" w14:textId="77777777" w:rsidR="00B46EA7" w:rsidRDefault="00000000">
            <w:pPr>
              <w:jc w:val="center"/>
            </w:pPr>
            <w:r>
              <w:rPr>
                <w:sz w:val="20"/>
                <w:szCs w:val="20"/>
              </w:rPr>
              <w:t>40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FD" w14:textId="77777777" w:rsidR="00B46EA7" w:rsidRDefault="00000000">
            <w:pPr>
              <w:jc w:val="center"/>
            </w:pPr>
            <w:r>
              <w:rPr>
                <w:sz w:val="20"/>
                <w:szCs w:val="20"/>
              </w:rPr>
              <w:t>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FE" w14:textId="77777777" w:rsidR="00B46EA7" w:rsidRDefault="00000000">
            <w:pPr>
              <w:jc w:val="center"/>
            </w:pPr>
            <w:r>
              <w:rPr>
                <w:sz w:val="20"/>
                <w:szCs w:val="20"/>
              </w:rPr>
              <w:t>2.5%</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8FF" w14:textId="77777777" w:rsidR="00B46EA7" w:rsidRDefault="00000000">
            <w:pPr>
              <w:jc w:val="center"/>
            </w:pPr>
            <w:r>
              <w:rPr>
                <w:sz w:val="20"/>
                <w:szCs w:val="20"/>
              </w:rPr>
              <w:t>0.01 pp</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00" w14:textId="77777777" w:rsidR="00B46EA7" w:rsidRDefault="00000000">
            <w:pPr>
              <w:jc w:val="center"/>
            </w:pPr>
            <w:r>
              <w:rPr>
                <w:sz w:val="20"/>
                <w:szCs w:val="20"/>
              </w:rPr>
              <w:t>0.48 pp</w:t>
            </w:r>
          </w:p>
        </w:tc>
      </w:tr>
      <w:tr w:rsidR="00B46EA7" w14:paraId="347E1908"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02" w14:textId="77777777" w:rsidR="00B46EA7" w:rsidRDefault="00000000">
            <w:r>
              <w:rPr>
                <w:sz w:val="20"/>
                <w:szCs w:val="20"/>
              </w:rPr>
              <w:t>Lower Middle ($1–4k)</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03" w14:textId="77777777" w:rsidR="00B46EA7" w:rsidRDefault="00000000">
            <w:pPr>
              <w:jc w:val="center"/>
            </w:pPr>
            <w:r>
              <w:rPr>
                <w:sz w:val="20"/>
                <w:szCs w:val="20"/>
              </w:rPr>
              <w:t>45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04" w14:textId="77777777" w:rsidR="00B46EA7" w:rsidRDefault="00000000">
            <w:pPr>
              <w:jc w:val="center"/>
            </w:pPr>
            <w:r>
              <w:rPr>
                <w:sz w:val="20"/>
                <w:szCs w:val="20"/>
              </w:rPr>
              <w:t>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05" w14:textId="77777777" w:rsidR="00B46EA7" w:rsidRDefault="00000000">
            <w:pPr>
              <w:jc w:val="center"/>
            </w:pPr>
            <w:r>
              <w:rPr>
                <w:sz w:val="20"/>
                <w:szCs w:val="20"/>
              </w:rPr>
              <w:t>11.1%</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06" w14:textId="77777777" w:rsidR="00B46EA7" w:rsidRDefault="00000000">
            <w:pPr>
              <w:jc w:val="center"/>
            </w:pPr>
            <w:r>
              <w:rPr>
                <w:sz w:val="20"/>
                <w:szCs w:val="20"/>
              </w:rPr>
              <w:t>0.09 pp</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07" w14:textId="77777777" w:rsidR="00B46EA7" w:rsidRDefault="00000000">
            <w:pPr>
              <w:jc w:val="center"/>
            </w:pPr>
            <w:r>
              <w:rPr>
                <w:sz w:val="20"/>
                <w:szCs w:val="20"/>
              </w:rPr>
              <w:t>1.51 pp</w:t>
            </w:r>
          </w:p>
        </w:tc>
      </w:tr>
      <w:tr w:rsidR="00B46EA7" w14:paraId="347E190F"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09" w14:textId="77777777" w:rsidR="00B46EA7" w:rsidRDefault="00000000">
            <w:r>
              <w:rPr>
                <w:sz w:val="20"/>
                <w:szCs w:val="20"/>
              </w:rPr>
              <w:t>Low Income (&lt;$1k)</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0A" w14:textId="77777777" w:rsidR="00B46EA7" w:rsidRDefault="00000000">
            <w:pPr>
              <w:jc w:val="center"/>
            </w:pPr>
            <w:r>
              <w:rPr>
                <w:sz w:val="20"/>
                <w:szCs w:val="20"/>
              </w:rPr>
              <w:t>18</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0B" w14:textId="77777777" w:rsidR="00B46EA7" w:rsidRDefault="00000000">
            <w:pPr>
              <w:jc w:val="center"/>
            </w:pPr>
            <w:r>
              <w:rPr>
                <w:sz w:val="20"/>
                <w:szCs w:val="20"/>
              </w:rPr>
              <w:t>14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0C" w14:textId="77777777" w:rsidR="00B46EA7" w:rsidRDefault="00000000">
            <w:pPr>
              <w:jc w:val="center"/>
            </w:pPr>
            <w:r>
              <w:rPr>
                <w:sz w:val="20"/>
                <w:szCs w:val="20"/>
              </w:rPr>
              <w:t>77.8%</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0D" w14:textId="77777777" w:rsidR="00B46EA7" w:rsidRDefault="00000000">
            <w:pPr>
              <w:jc w:val="center"/>
            </w:pPr>
            <w:r>
              <w:rPr>
                <w:sz w:val="20"/>
                <w:szCs w:val="20"/>
              </w:rPr>
              <w:t>1.10 pp</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0E" w14:textId="77777777" w:rsidR="00B46EA7" w:rsidRDefault="00000000">
            <w:pPr>
              <w:jc w:val="center"/>
            </w:pPr>
            <w:r>
              <w:rPr>
                <w:sz w:val="20"/>
                <w:szCs w:val="20"/>
              </w:rPr>
              <w:t>3.56 pp</w:t>
            </w:r>
          </w:p>
        </w:tc>
      </w:tr>
    </w:tbl>
    <w:p w14:paraId="347E1910" w14:textId="77777777" w:rsidR="00B46EA7" w:rsidRDefault="00B46EA7">
      <w:pPr>
        <w:spacing w:after="200"/>
      </w:pPr>
    </w:p>
    <w:p w14:paraId="347E1911" w14:textId="77777777" w:rsidR="00B46EA7" w:rsidRDefault="00000000">
      <w:pPr>
        <w:spacing w:after="200"/>
      </w:pPr>
      <w:r>
        <w:t>Seventy-eight percent of low-income countries still require adjustment in 2020. Their mean risk premium of 1.10 percentage points is an order of magnitude above the high-income mean. These are the countries where the Bank’s constitutional mandate—ensuring access to capital at reasonable cost—remains most urgently operative.</w:t>
      </w:r>
    </w:p>
    <w:p w14:paraId="347E1912" w14:textId="3364057A" w:rsidR="00B46EA7" w:rsidRDefault="00000000">
      <w:pPr>
        <w:pStyle w:val="Heading3"/>
        <w:spacing w:before="300" w:after="200"/>
      </w:pPr>
      <w:r>
        <w:t>4.</w:t>
      </w:r>
      <w:r w:rsidR="00D363BE">
        <w:t>3</w:t>
      </w:r>
      <w:r>
        <w:t xml:space="preserve"> The 485:1 Net Worth Gap</w:t>
      </w:r>
    </w:p>
    <w:p w14:paraId="347E1913" w14:textId="77777777" w:rsidR="00B46EA7" w:rsidRDefault="00000000">
      <w:pPr>
        <w:spacing w:after="200"/>
      </w:pPr>
      <w:r>
        <w:t>Net Worth per capita in 2020 ranges from $1,787,730 (Qatar) to $3,686 (Burundi)—a ratio of 485 to one. Even within the more comparable pair of the United States and Nigeria, the ratio is 25 to one. The balance-sheet framework makes this gap legible in double-entry terms: it is not merely an income difference but a disparity where the liability side (Deferred Maintenance) grows precisely where assets are thinnest. Burundi’s SI share has been negative in every year since 1995, averaging −95 percent; it is consuming its substrate.</w:t>
      </w:r>
    </w:p>
    <w:p w14:paraId="347E1914" w14:textId="0011C44C" w:rsidR="00B46EA7" w:rsidRDefault="00000000">
      <w:pPr>
        <w:pStyle w:val="Heading3"/>
        <w:spacing w:before="300" w:after="200"/>
      </w:pPr>
      <w:r>
        <w:t>4.</w:t>
      </w:r>
      <w:r w:rsidR="00D363BE">
        <w:t>4</w:t>
      </w:r>
      <w:r>
        <w:t xml:space="preserve"> The Commensuration Test</w:t>
      </w:r>
    </w:p>
    <w:p w14:paraId="347E1915" w14:textId="77777777" w:rsidR="00B46EA7" w:rsidRDefault="00000000">
      <w:pPr>
        <w:spacing w:after="200"/>
      </w:pPr>
      <w:r>
        <w:t>Recent studies show correlations between sovereign risk and specific inhibitors—poverty, bribery, institutional fragility—and these findings are valuable.</w:t>
      </w:r>
      <w:r>
        <w:rPr>
          <w:rStyle w:val="FootnoteReference"/>
        </w:rPr>
        <w:footnoteReference w:id="4"/>
      </w:r>
      <w:r>
        <w:t xml:space="preserve"> However, each is an instance of a broader phenomenon. What the SI residual and risk premium do is provide a single commensurate measure of the full deficit—the gap between what a society produces (the income annuity) and what conventional asset accounting can identify as collateral. In Espeland’s terms, poverty and bribery are thin descriptions that correlate with the deeper phenomenon;</w:t>
      </w:r>
      <w:r>
        <w:rPr>
          <w:rStyle w:val="FootnoteReference"/>
        </w:rPr>
        <w:footnoteReference w:id="5"/>
      </w:r>
      <w:r>
        <w:t xml:space="preserve"> Social Infrastructure is the thick description—the substrate the Bank has been intermediating all along, now given a number.</w:t>
      </w:r>
    </w:p>
    <w:p w14:paraId="347E1916" w14:textId="77777777" w:rsidR="00B46EA7" w:rsidRDefault="00000000">
      <w:r>
        <w:br w:type="page"/>
      </w:r>
    </w:p>
    <w:p w14:paraId="347E1917" w14:textId="77777777" w:rsidR="00B46EA7" w:rsidRDefault="00000000">
      <w:pPr>
        <w:pStyle w:val="Heading1"/>
      </w:pPr>
      <w:r>
        <w:lastRenderedPageBreak/>
        <w:t>Part III. Directions for Further Work</w:t>
      </w:r>
    </w:p>
    <w:p w14:paraId="347E1918" w14:textId="77777777" w:rsidR="00B46EA7" w:rsidRDefault="00000000">
      <w:pPr>
        <w:pStyle w:val="Heading2"/>
        <w:spacing w:before="300" w:after="200"/>
      </w:pPr>
      <w:r>
        <w:t>5. Immediate Extensions</w:t>
      </w:r>
    </w:p>
    <w:p w14:paraId="347E1919" w14:textId="77777777" w:rsidR="00B46EA7" w:rsidRDefault="00000000">
      <w:pPr>
        <w:pStyle w:val="Heading3"/>
        <w:spacing w:before="300" w:after="200"/>
      </w:pPr>
      <w:r>
        <w:t>5.1 When Tethering: Temporal Classification</w:t>
      </w:r>
    </w:p>
    <w:p w14:paraId="347E191A" w14:textId="77777777" w:rsidR="00B46EA7" w:rsidRDefault="00000000">
      <w:pPr>
        <w:spacing w:after="200"/>
      </w:pPr>
      <w:r>
        <w:t>The current compilation covers two of the three objective database dimensions: Where (237 countries, with subnational extension via the Gazetteer) and What (the four-factor decomposition). The third—When—remains to be formalized. Each datum should carry a temporal tag: Past (historical observation), Present (most recent actuals), or Future (projection or forecast). The annual architecture is designed for this: WPP Estimates (1950–2023) are Past/Present; WPP Medium variant (2024–2050) is Future; WDI is Past/Present; IMF WEO is Future. Making these tags explicit would let an analyst filter the balance sheet by epistemic status—a distinction that matters for decision-making but is currently invisible.</w:t>
      </w:r>
    </w:p>
    <w:p w14:paraId="347E191B" w14:textId="77777777" w:rsidR="00B46EA7" w:rsidRDefault="00000000">
      <w:pPr>
        <w:pStyle w:val="Heading3"/>
        <w:spacing w:before="300" w:after="200"/>
      </w:pPr>
      <w:r>
        <w:t>5.2 How and Why Model Tethering</w:t>
      </w:r>
    </w:p>
    <w:p w14:paraId="347E191C" w14:textId="77777777" w:rsidR="00B46EA7" w:rsidRDefault="00000000">
      <w:pPr>
        <w:spacing w:after="200"/>
      </w:pPr>
      <w:r>
        <w:t>The balance sheet recognizes assets but does not yet connect them to the functional models and causal hypotheses that explain how they generate income. This is the bridge from recognition to valuation: How do these factors combine to produce the income annuity? Why does the residual vary so much across countries? Connecting functional models (production functions, institutional quality assessments, governance indicators) back to the objective evidence base would begin to populate the How and Why dimensions that OG-001 leaves for future work.</w:t>
      </w:r>
    </w:p>
    <w:p w14:paraId="347E191D" w14:textId="77777777" w:rsidR="00B46EA7" w:rsidRDefault="00000000">
      <w:pPr>
        <w:pStyle w:val="Heading3"/>
        <w:spacing w:before="300" w:after="200"/>
      </w:pPr>
      <w:r>
        <w:t>5.3 Subnational Decomposition</w:t>
      </w:r>
    </w:p>
    <w:p w14:paraId="347E191E" w14:textId="77777777" w:rsidR="00B46EA7" w:rsidRDefault="00000000">
      <w:pPr>
        <w:spacing w:after="200"/>
      </w:pPr>
      <w:r>
        <w:t xml:space="preserve">The Duval County demonstrator—a bottom-up quintile analysis at census block-group level—showed that the framework works from local to global. Extending the balance sheet to subnational units, using the Gazetteer’s 7,360 leaves as the spatial frame, would expose within-country inequality in balance-sheet terms. The 38-fold measurement asymmetry documented in the Gazetteer (2,350 units measuring 300 million </w:t>
      </w:r>
      <w:proofErr w:type="spellStart"/>
      <w:r>
        <w:t>Sparse+Rich</w:t>
      </w:r>
      <w:proofErr w:type="spellEnd"/>
      <w:r>
        <w:t xml:space="preserve"> people versus 62 units covering 241 million </w:t>
      </w:r>
      <w:proofErr w:type="spellStart"/>
      <w:r>
        <w:t>Dense+Poor</w:t>
      </w:r>
      <w:proofErr w:type="spellEnd"/>
      <w:r>
        <w:t>) suggests that national aggregates mask precisely the variation that matters for operational decisions.</w:t>
      </w:r>
    </w:p>
    <w:p w14:paraId="347E191F" w14:textId="77777777" w:rsidR="00B46EA7" w:rsidRDefault="00000000">
      <w:pPr>
        <w:pStyle w:val="Heading3"/>
        <w:spacing w:before="300" w:after="200"/>
      </w:pPr>
      <w:r>
        <w:t>5.4 SLO Application</w:t>
      </w:r>
    </w:p>
    <w:p w14:paraId="347E1920" w14:textId="77777777" w:rsidR="00B46EA7" w:rsidRDefault="00000000">
      <w:pPr>
        <w:spacing w:after="200"/>
      </w:pPr>
      <w:r>
        <w:t xml:space="preserve">The Newmont/Ahafo case study materials in the </w:t>
      </w:r>
      <w:proofErr w:type="spellStart"/>
      <w:r>
        <w:t>A_Background</w:t>
      </w:r>
      <w:proofErr w:type="spellEnd"/>
      <w:r>
        <w:t xml:space="preserve"> collection provide a test bed for applying the framework to extractive industry social license. A mining project that raises Produced Capital and Natural Capital extraction in a community without commensurate investment in Social Infrastructure is, in balance-sheet terms, increasing assets while depleting the residual. The risk premium framework could quantify this at the project level, providing a financial metric for what social license practitioners currently assess qualitatively.</w:t>
      </w:r>
    </w:p>
    <w:p w14:paraId="347E1921" w14:textId="77777777" w:rsidR="00B46EA7" w:rsidRDefault="00000000">
      <w:pPr>
        <w:pStyle w:val="Heading2"/>
        <w:spacing w:before="300" w:after="200"/>
      </w:pPr>
      <w:r>
        <w:t>6. Methodological Refinements</w:t>
      </w:r>
    </w:p>
    <w:p w14:paraId="347E1922" w14:textId="77777777" w:rsidR="00B46EA7" w:rsidRDefault="00000000">
      <w:pPr>
        <w:pStyle w:val="Heading3"/>
        <w:spacing w:before="300" w:after="200"/>
      </w:pPr>
      <w:r>
        <w:t>6.1 The SI Floor as an Empirical Question</w:t>
      </w:r>
    </w:p>
    <w:p w14:paraId="347E1923" w14:textId="77777777" w:rsidR="00B46EA7" w:rsidRDefault="00000000">
      <w:pPr>
        <w:spacing w:after="200"/>
      </w:pPr>
      <w:r>
        <w:lastRenderedPageBreak/>
        <w:t>The 20 percent floor is set by observation of high-income patterns, not by theoretical derivation. As the dataset extends backward and the CWoN time series lengthens, it may be possible to estimate the floor econometrically—identifying the SI share threshold below which growth stalls or reverses. The current compilation provides the data to test this. The fact that Japan, Switzerland, and Australia trip the floor via measurement artifacts rather than genuine fragility suggests the floor may need to be conditioned on income level or collateral composition.</w:t>
      </w:r>
    </w:p>
    <w:p w14:paraId="347E1924" w14:textId="77777777" w:rsidR="00B46EA7" w:rsidRDefault="00000000">
      <w:pPr>
        <w:pStyle w:val="Heading3"/>
        <w:spacing w:before="300" w:after="200"/>
      </w:pPr>
      <w:r>
        <w:t>6.2 Real versus Nominal Valuation</w:t>
      </w:r>
    </w:p>
    <w:p w14:paraId="347E1925" w14:textId="77777777" w:rsidR="00B46EA7" w:rsidRDefault="00000000">
      <w:pPr>
        <w:spacing w:after="200"/>
      </w:pPr>
      <w:r>
        <w:t>The current compilation works entirely in current US dollars, following CWoN’s own convention. This means the time series conflates real growth with dollar inflation and exchange-rate movements. For cross-temporal comparison, a parallel compilation in real terms—using the ICP/PWT International dollars that underlie Figure 5—would separate the volume from the valuation. The annual architecture is designed to accommodate this: a parallel set of “real” tabs could sit alongside the nominal tabs without altering the compilation logic.</w:t>
      </w:r>
    </w:p>
    <w:p w14:paraId="347E1926" w14:textId="77777777" w:rsidR="00B46EA7" w:rsidRDefault="00000000">
      <w:pPr>
        <w:pStyle w:val="Heading3"/>
        <w:spacing w:before="300" w:after="200"/>
      </w:pPr>
      <w:r>
        <w:t>6.3 The Hollerith Pivot in Reverse</w:t>
      </w:r>
    </w:p>
    <w:p w14:paraId="347E1927" w14:textId="77777777" w:rsidR="00B46EA7" w:rsidRDefault="00000000">
      <w:pPr>
        <w:spacing w:after="200"/>
      </w:pPr>
      <w:r>
        <w:t>The 1890 shift that made quantitative data cheap and qualitative assessment expensive—what we have called the Hollerith Pivot—is now being reversed by large language models. The compilation documented here was built with AI assistance across multiple sessions, a process that would have taken months of manual work a decade ago. The build scripts, intermediate JSON files, and vintage-tagged workbooks constitute a replication package that any competent analyst with access to the same source data and an LLM collaborator could reconstruct in days. This has implications for the Bank’s own statistical operations: the bottleneck is no longer computation but curation—deciding what is worth recognizing and how to tag its provenance.</w:t>
      </w:r>
    </w:p>
    <w:p w14:paraId="347E1928" w14:textId="77777777" w:rsidR="00B46EA7" w:rsidRDefault="00000000">
      <w:pPr>
        <w:pStyle w:val="Heading2"/>
        <w:spacing w:before="300" w:after="200"/>
      </w:pPr>
      <w:r>
        <w:t>7. The Argument Arc</w:t>
      </w:r>
    </w:p>
    <w:p w14:paraId="347E1929" w14:textId="77777777" w:rsidR="00B46EA7" w:rsidRDefault="00000000">
      <w:pPr>
        <w:spacing w:after="200"/>
      </w:pPr>
      <w:r>
        <w:t>The compilation documented in this guideline is one element of a broader argument:</w:t>
      </w:r>
    </w:p>
    <w:p w14:paraId="347E192A" w14:textId="77777777" w:rsidR="00B46EA7" w:rsidRDefault="00000000">
      <w:pPr>
        <w:pStyle w:val="ListParagraph"/>
        <w:numPr>
          <w:ilvl w:val="0"/>
          <w:numId w:val="3"/>
        </w:numPr>
      </w:pPr>
      <w:r>
        <w:t>The Bank’s constitutional mandate is access to capital at reasonable cost (Articles of Agreement).</w:t>
      </w:r>
    </w:p>
    <w:p w14:paraId="347E192B" w14:textId="77777777" w:rsidR="00B46EA7" w:rsidRDefault="00000000">
      <w:pPr>
        <w:pStyle w:val="ListParagraph"/>
        <w:numPr>
          <w:ilvl w:val="0"/>
          <w:numId w:val="3"/>
        </w:numPr>
      </w:pPr>
      <w:r>
        <w:t>IDA/R73-7 was the first administrative contract operationalizing this mandate via income thresholds.</w:t>
      </w:r>
    </w:p>
    <w:p w14:paraId="347E192C" w14:textId="77777777" w:rsidR="00B46EA7" w:rsidRDefault="00000000">
      <w:pPr>
        <w:pStyle w:val="ListParagraph"/>
        <w:numPr>
          <w:ilvl w:val="0"/>
          <w:numId w:val="3"/>
        </w:numPr>
      </w:pPr>
      <w:r>
        <w:t>The four-tier preference scheme is a ladder of diminishing risk premiums.</w:t>
      </w:r>
    </w:p>
    <w:p w14:paraId="347E192D" w14:textId="77777777" w:rsidR="00B46EA7" w:rsidRDefault="00000000">
      <w:pPr>
        <w:pStyle w:val="ListParagraph"/>
        <w:numPr>
          <w:ilvl w:val="0"/>
          <w:numId w:val="3"/>
        </w:numPr>
      </w:pPr>
      <w:r>
        <w:t>Graduation occurs when Social Infrastructure has compressed the premium to the point of market access.</w:t>
      </w:r>
    </w:p>
    <w:p w14:paraId="347E192E" w14:textId="77777777" w:rsidR="00B46EA7" w:rsidRDefault="00000000">
      <w:pPr>
        <w:pStyle w:val="ListParagraph"/>
        <w:numPr>
          <w:ilvl w:val="0"/>
          <w:numId w:val="3"/>
        </w:numPr>
      </w:pPr>
      <w:r>
        <w:t>Take-off—reaching US-1950 levels—marks the point where collateral suffices for private markets.</w:t>
      </w:r>
    </w:p>
    <w:p w14:paraId="347E192F" w14:textId="77777777" w:rsidR="00B46EA7" w:rsidRDefault="00000000">
      <w:pPr>
        <w:pStyle w:val="ListParagraph"/>
        <w:numPr>
          <w:ilvl w:val="0"/>
          <w:numId w:val="3"/>
        </w:numPr>
      </w:pPr>
      <w:r>
        <w:t>Recent studies confirm poverty and bribery correlate with sovereign risk—but these are instances, not the phenomenon.</w:t>
      </w:r>
    </w:p>
    <w:p w14:paraId="347E1930" w14:textId="77777777" w:rsidR="00B46EA7" w:rsidRDefault="00000000">
      <w:pPr>
        <w:pStyle w:val="ListParagraph"/>
        <w:numPr>
          <w:ilvl w:val="0"/>
          <w:numId w:val="3"/>
        </w:numPr>
      </w:pPr>
      <w:r>
        <w:t>The SI residual and risk premium quantify the whole phenomenon: the Bank’s intermediation function, made commensurate.</w:t>
      </w:r>
    </w:p>
    <w:p w14:paraId="347E1931" w14:textId="77777777" w:rsidR="00B46EA7" w:rsidRDefault="00B46EA7">
      <w:pPr>
        <w:spacing w:after="200"/>
      </w:pPr>
    </w:p>
    <w:p w14:paraId="347E1932" w14:textId="77777777" w:rsidR="00B46EA7" w:rsidRDefault="00000000">
      <w:pPr>
        <w:spacing w:after="200"/>
      </w:pPr>
      <w:r>
        <w:t>This guideline documents the how. The why—and the case for why it matters—is the subject of the advocacy materials in the B collection and the correspondence with World Bank statistical leadership.</w:t>
      </w:r>
    </w:p>
    <w:p w14:paraId="347E1933" w14:textId="77777777" w:rsidR="00B46EA7" w:rsidRDefault="00000000">
      <w:pPr>
        <w:pStyle w:val="Heading2"/>
        <w:spacing w:before="300" w:after="200"/>
      </w:pPr>
      <w:r>
        <w:lastRenderedPageBreak/>
        <w:t>8. File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0"/>
        <w:gridCol w:w="2590"/>
        <w:gridCol w:w="3220"/>
      </w:tblGrid>
      <w:tr w:rsidR="00B46EA7" w14:paraId="347E1937" w14:textId="77777777">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7E1934" w14:textId="77777777" w:rsidR="00B46EA7" w:rsidRDefault="00000000">
            <w:r>
              <w:rPr>
                <w:b/>
                <w:bCs/>
                <w:color w:val="FFFFFF"/>
                <w:sz w:val="20"/>
                <w:szCs w:val="20"/>
              </w:rPr>
              <w:t>File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7E1935" w14:textId="77777777" w:rsidR="00B46EA7" w:rsidRDefault="00000000">
            <w:r>
              <w:rPr>
                <w:b/>
                <w:bCs/>
                <w:color w:val="FFFFFF"/>
                <w:sz w:val="20"/>
                <w:szCs w:val="20"/>
              </w:rPr>
              <w:t>Location</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7E1936" w14:textId="77777777" w:rsidR="00B46EA7" w:rsidRDefault="00000000">
            <w:r>
              <w:rPr>
                <w:b/>
                <w:bCs/>
                <w:color w:val="FFFFFF"/>
                <w:sz w:val="20"/>
                <w:szCs w:val="20"/>
              </w:rPr>
              <w:t>Content</w:t>
            </w:r>
          </w:p>
        </w:tc>
      </w:tr>
      <w:tr w:rsidR="00B46EA7" w14:paraId="347E193B"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38" w14:textId="77777777" w:rsidR="00B46EA7" w:rsidRDefault="00000000">
            <w:r>
              <w:rPr>
                <w:sz w:val="20"/>
                <w:szCs w:val="20"/>
              </w:rPr>
              <w:t>Commonwealth_Annual.xlsx</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39" w14:textId="77777777" w:rsidR="00B46EA7" w:rsidRDefault="00000000">
            <w:proofErr w:type="spellStart"/>
            <w:r>
              <w:rPr>
                <w:i/>
                <w:iCs/>
                <w:sz w:val="20"/>
                <w:szCs w:val="20"/>
              </w:rPr>
              <w:t>BC_Hybrid</w:t>
            </w:r>
            <w:proofErr w:type="spellEnd"/>
            <w:r>
              <w:rPr>
                <w:i/>
                <w:iCs/>
                <w:sz w:val="20"/>
                <w:szCs w:val="20"/>
              </w:rPr>
              <w:t>/</w:t>
            </w:r>
            <w:proofErr w:type="spellStart"/>
            <w:r>
              <w:rPr>
                <w:i/>
                <w:iCs/>
                <w:sz w:val="20"/>
                <w:szCs w:val="20"/>
              </w:rPr>
              <w:t>MEP_Redux</w:t>
            </w:r>
            <w:proofErr w:type="spellEnd"/>
            <w:r>
              <w:rPr>
                <w:i/>
                <w:iCs/>
                <w:sz w:val="20"/>
                <w:szCs w:val="20"/>
              </w:rPr>
              <w: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3A" w14:textId="77777777" w:rsidR="00B46EA7" w:rsidRDefault="00000000">
            <w:r>
              <w:rPr>
                <w:sz w:val="20"/>
                <w:szCs w:val="20"/>
              </w:rPr>
              <w:t>47 tabs, 101 annual columns, authority</w:t>
            </w:r>
          </w:p>
        </w:tc>
      </w:tr>
      <w:tr w:rsidR="00B46EA7" w14:paraId="347E193F"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3C" w14:textId="77777777" w:rsidR="00B46EA7" w:rsidRDefault="00000000">
            <w:r>
              <w:rPr>
                <w:sz w:val="20"/>
                <w:szCs w:val="20"/>
              </w:rPr>
              <w:t>Commonwealth_Quinq.xlsx</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3D" w14:textId="77777777" w:rsidR="00B46EA7" w:rsidRDefault="00000000">
            <w:proofErr w:type="spellStart"/>
            <w:r>
              <w:rPr>
                <w:i/>
                <w:iCs/>
                <w:sz w:val="20"/>
                <w:szCs w:val="20"/>
              </w:rPr>
              <w:t>BC_Hybrid</w:t>
            </w:r>
            <w:proofErr w:type="spellEnd"/>
            <w:r>
              <w:rPr>
                <w:i/>
                <w:iCs/>
                <w:sz w:val="20"/>
                <w:szCs w:val="20"/>
              </w:rPr>
              <w:t>/</w:t>
            </w:r>
            <w:proofErr w:type="spellStart"/>
            <w:r>
              <w:rPr>
                <w:i/>
                <w:iCs/>
                <w:sz w:val="20"/>
                <w:szCs w:val="20"/>
              </w:rPr>
              <w:t>MEP_Redux</w:t>
            </w:r>
            <w:proofErr w:type="spellEnd"/>
            <w:r>
              <w:rPr>
                <w:i/>
                <w:iCs/>
                <w:sz w:val="20"/>
                <w:szCs w:val="20"/>
              </w:rPr>
              <w: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3E" w14:textId="77777777" w:rsidR="00B46EA7" w:rsidRDefault="00000000">
            <w:r>
              <w:rPr>
                <w:sz w:val="20"/>
                <w:szCs w:val="20"/>
              </w:rPr>
              <w:t>47 tabs, 21 quinquennial columns, derived</w:t>
            </w:r>
          </w:p>
        </w:tc>
      </w:tr>
      <w:tr w:rsidR="00B46EA7" w14:paraId="347E1943"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40" w14:textId="77777777" w:rsidR="00B46EA7" w:rsidRDefault="00000000">
            <w:r>
              <w:rPr>
                <w:sz w:val="20"/>
                <w:szCs w:val="20"/>
              </w:rPr>
              <w:t>Risk_Premium_Assessment.xlsx</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41" w14:textId="77777777" w:rsidR="00B46EA7" w:rsidRDefault="00000000">
            <w:proofErr w:type="spellStart"/>
            <w:r>
              <w:rPr>
                <w:i/>
                <w:iCs/>
                <w:sz w:val="20"/>
                <w:szCs w:val="20"/>
              </w:rPr>
              <w:t>BC_Hybrid</w:t>
            </w:r>
            <w:proofErr w:type="spellEnd"/>
            <w:r>
              <w:rPr>
                <w:i/>
                <w:iCs/>
                <w:sz w:val="20"/>
                <w:szCs w:val="20"/>
              </w:rPr>
              <w:t>/</w:t>
            </w:r>
            <w:proofErr w:type="spellStart"/>
            <w:r>
              <w:rPr>
                <w:i/>
                <w:iCs/>
                <w:sz w:val="20"/>
                <w:szCs w:val="20"/>
              </w:rPr>
              <w:t>MEP_Redux</w:t>
            </w:r>
            <w:proofErr w:type="spellEnd"/>
            <w:r>
              <w:rPr>
                <w:i/>
                <w:iCs/>
                <w:sz w:val="20"/>
                <w:szCs w:val="20"/>
              </w:rPr>
              <w: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42" w14:textId="77777777" w:rsidR="00B46EA7" w:rsidRDefault="00000000">
            <w:r>
              <w:rPr>
                <w:sz w:val="20"/>
                <w:szCs w:val="20"/>
              </w:rPr>
              <w:t>Assessment with remaining-risk ranking</w:t>
            </w:r>
          </w:p>
        </w:tc>
      </w:tr>
      <w:tr w:rsidR="00B46EA7" w14:paraId="347E1947"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44" w14:textId="77777777" w:rsidR="00B46EA7" w:rsidRDefault="00000000">
            <w:r>
              <w:rPr>
                <w:sz w:val="20"/>
                <w:szCs w:val="20"/>
              </w:rPr>
              <w:t>Commonwealth_Observations.xlsx</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45" w14:textId="77777777" w:rsidR="00B46EA7" w:rsidRDefault="00000000">
            <w:proofErr w:type="spellStart"/>
            <w:r>
              <w:rPr>
                <w:i/>
                <w:iCs/>
                <w:sz w:val="20"/>
                <w:szCs w:val="20"/>
              </w:rPr>
              <w:t>BC_Hybrid</w:t>
            </w:r>
            <w:proofErr w:type="spellEnd"/>
            <w:r>
              <w:rPr>
                <w:i/>
                <w:iCs/>
                <w:sz w:val="20"/>
                <w:szCs w:val="20"/>
              </w:rPr>
              <w:t>/</w:t>
            </w:r>
            <w:proofErr w:type="spellStart"/>
            <w:r>
              <w:rPr>
                <w:i/>
                <w:iCs/>
                <w:sz w:val="20"/>
                <w:szCs w:val="20"/>
              </w:rPr>
              <w:t>MEP_Redux</w:t>
            </w:r>
            <w:proofErr w:type="spellEnd"/>
            <w:r>
              <w:rPr>
                <w:i/>
                <w:iCs/>
                <w:sz w:val="20"/>
                <w:szCs w:val="20"/>
              </w:rPr>
              <w: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46" w14:textId="77777777" w:rsidR="00B46EA7" w:rsidRDefault="00000000">
            <w:r>
              <w:rPr>
                <w:sz w:val="20"/>
                <w:szCs w:val="20"/>
              </w:rPr>
              <w:t>Key analytical tables and rankings</w:t>
            </w:r>
          </w:p>
        </w:tc>
      </w:tr>
      <w:tr w:rsidR="00B46EA7" w14:paraId="347E194B"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48" w14:textId="77777777" w:rsidR="00B46EA7" w:rsidRDefault="00000000">
            <w:r>
              <w:rPr>
                <w:sz w:val="20"/>
                <w:szCs w:val="20"/>
              </w:rPr>
              <w:t>SI_Assessment.xlsx</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49" w14:textId="77777777" w:rsidR="00B46EA7" w:rsidRDefault="00000000">
            <w:proofErr w:type="spellStart"/>
            <w:r>
              <w:rPr>
                <w:i/>
                <w:iCs/>
                <w:sz w:val="20"/>
                <w:szCs w:val="20"/>
              </w:rPr>
              <w:t>BC_Hybrid</w:t>
            </w:r>
            <w:proofErr w:type="spellEnd"/>
            <w:r>
              <w:rPr>
                <w:i/>
                <w:iCs/>
                <w:sz w:val="20"/>
                <w:szCs w:val="20"/>
              </w:rPr>
              <w:t>/</w:t>
            </w:r>
            <w:proofErr w:type="spellStart"/>
            <w:r>
              <w:rPr>
                <w:i/>
                <w:iCs/>
                <w:sz w:val="20"/>
                <w:szCs w:val="20"/>
              </w:rPr>
              <w:t>MEP_Redux</w:t>
            </w:r>
            <w:proofErr w:type="spellEnd"/>
            <w:r>
              <w:rPr>
                <w:i/>
                <w:iCs/>
                <w:sz w:val="20"/>
                <w:szCs w:val="20"/>
              </w:rPr>
              <w: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4A" w14:textId="77777777" w:rsidR="00B46EA7" w:rsidRDefault="00000000">
            <w:r>
              <w:rPr>
                <w:sz w:val="20"/>
                <w:szCs w:val="20"/>
              </w:rPr>
              <w:t>SI residual diagnostics</w:t>
            </w:r>
          </w:p>
        </w:tc>
      </w:tr>
      <w:tr w:rsidR="00B46EA7" w14:paraId="347E194F"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4C" w14:textId="77777777" w:rsidR="00B46EA7" w:rsidRDefault="00000000">
            <w:r>
              <w:rPr>
                <w:sz w:val="20"/>
                <w:szCs w:val="20"/>
              </w:rPr>
              <w:t>step4–step11 scripts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4D" w14:textId="77777777" w:rsidR="00B46EA7" w:rsidRDefault="00000000">
            <w:proofErr w:type="spellStart"/>
            <w:r>
              <w:rPr>
                <w:i/>
                <w:iCs/>
                <w:sz w:val="20"/>
                <w:szCs w:val="20"/>
              </w:rPr>
              <w:t>C_Technical</w:t>
            </w:r>
            <w:proofErr w:type="spellEnd"/>
            <w:r>
              <w:rPr>
                <w:i/>
                <w:iCs/>
                <w:sz w:val="20"/>
                <w:szCs w:val="20"/>
              </w:rPr>
              <w:t>/</w:t>
            </w:r>
            <w:proofErr w:type="spellStart"/>
            <w:r>
              <w:rPr>
                <w:i/>
                <w:iCs/>
                <w:sz w:val="20"/>
                <w:szCs w:val="20"/>
              </w:rPr>
              <w:t>Build_Scripts</w:t>
            </w:r>
            <w:proofErr w:type="spellEnd"/>
            <w:r>
              <w:rPr>
                <w:i/>
                <w:iCs/>
                <w:sz w:val="20"/>
                <w:szCs w:val="20"/>
              </w:rPr>
              <w: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4E" w14:textId="77777777" w:rsidR="00B46EA7" w:rsidRDefault="00000000">
            <w:r>
              <w:rPr>
                <w:sz w:val="20"/>
                <w:szCs w:val="20"/>
              </w:rPr>
              <w:t>Replicable Python build pipeline</w:t>
            </w:r>
          </w:p>
        </w:tc>
      </w:tr>
      <w:tr w:rsidR="00B46EA7" w14:paraId="347E1953"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50" w14:textId="77777777" w:rsidR="00B46EA7" w:rsidRDefault="00000000">
            <w:proofErr w:type="spellStart"/>
            <w:r>
              <w:rPr>
                <w:sz w:val="20"/>
                <w:szCs w:val="20"/>
              </w:rPr>
              <w:t>risk_premium_results.json</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51" w14:textId="77777777" w:rsidR="00B46EA7" w:rsidRDefault="00000000">
            <w:r>
              <w:rPr>
                <w:i/>
                <w:iCs/>
                <w:sz w:val="20"/>
                <w:szCs w:val="20"/>
              </w:rPr>
              <w:t xml:space="preserve">Session working </w:t>
            </w:r>
            <w:proofErr w:type="spellStart"/>
            <w:r>
              <w:rPr>
                <w:i/>
                <w:iCs/>
                <w:sz w:val="20"/>
                <w:szCs w:val="20"/>
              </w:rPr>
              <w:t>dir</w:t>
            </w:r>
            <w:proofErr w:type="spellEnd"/>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52" w14:textId="77777777" w:rsidR="00B46EA7" w:rsidRDefault="00000000">
            <w:r>
              <w:rPr>
                <w:sz w:val="20"/>
                <w:szCs w:val="20"/>
              </w:rPr>
              <w:t>Intermediate: 3,884 country-year results</w:t>
            </w:r>
          </w:p>
        </w:tc>
      </w:tr>
      <w:tr w:rsidR="00B46EA7" w14:paraId="347E1957"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54" w14:textId="77777777" w:rsidR="00B46EA7" w:rsidRDefault="00000000">
            <w:r>
              <w:rPr>
                <w:sz w:val="20"/>
                <w:szCs w:val="20"/>
              </w:rPr>
              <w:t>OG-001 (v2.3)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55" w14:textId="77777777" w:rsidR="00B46EA7" w:rsidRDefault="00000000">
            <w:proofErr w:type="spellStart"/>
            <w:r>
              <w:rPr>
                <w:i/>
                <w:iCs/>
                <w:sz w:val="20"/>
                <w:szCs w:val="20"/>
              </w:rPr>
              <w:t>C_Technical</w:t>
            </w:r>
            <w:proofErr w:type="spellEnd"/>
            <w:r>
              <w:rPr>
                <w:i/>
                <w:iCs/>
                <w:sz w:val="20"/>
                <w:szCs w:val="20"/>
              </w:rPr>
              <w:t>/Guidelines/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56" w14:textId="77777777" w:rsidR="00B46EA7" w:rsidRDefault="00000000">
            <w:r>
              <w:rPr>
                <w:sz w:val="20"/>
                <w:szCs w:val="20"/>
              </w:rPr>
              <w:t>Classification of What Indicators</w:t>
            </w:r>
          </w:p>
        </w:tc>
      </w:tr>
      <w:tr w:rsidR="00B46EA7" w14:paraId="347E195B"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58" w14:textId="77777777" w:rsidR="00B46EA7" w:rsidRDefault="00000000">
            <w:r>
              <w:rPr>
                <w:sz w:val="20"/>
                <w:szCs w:val="20"/>
              </w:rPr>
              <w:t>OG-002 (this document)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59" w14:textId="77777777" w:rsidR="00B46EA7" w:rsidRDefault="00000000">
            <w:proofErr w:type="spellStart"/>
            <w:r>
              <w:rPr>
                <w:i/>
                <w:iCs/>
                <w:sz w:val="20"/>
                <w:szCs w:val="20"/>
              </w:rPr>
              <w:t>C_Technical</w:t>
            </w:r>
            <w:proofErr w:type="spellEnd"/>
            <w:r>
              <w:rPr>
                <w:i/>
                <w:iCs/>
                <w:sz w:val="20"/>
                <w:szCs w:val="20"/>
              </w:rPr>
              <w:t>/Guidelines/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E195A" w14:textId="77777777" w:rsidR="00B46EA7" w:rsidRDefault="00000000">
            <w:r>
              <w:rPr>
                <w:sz w:val="20"/>
                <w:szCs w:val="20"/>
              </w:rPr>
              <w:t>Balance sheet compilation guideline</w:t>
            </w:r>
          </w:p>
        </w:tc>
      </w:tr>
    </w:tbl>
    <w:p w14:paraId="347E195C" w14:textId="77777777" w:rsidR="008F68D2" w:rsidRDefault="008F68D2"/>
    <w:sectPr w:rsidR="008F68D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C9E7E" w14:textId="77777777" w:rsidR="001F2543" w:rsidRDefault="001F2543">
      <w:r>
        <w:separator/>
      </w:r>
    </w:p>
  </w:endnote>
  <w:endnote w:type="continuationSeparator" w:id="0">
    <w:p w14:paraId="56D24431" w14:textId="77777777" w:rsidR="001F2543" w:rsidRDefault="001F2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E195D" w14:textId="445BA9CA" w:rsidR="00B46EA7" w:rsidRDefault="00000000">
    <w:pPr>
      <w:pBdr>
        <w:top w:val="single" w:sz="4" w:space="1" w:color="CCCCCC"/>
      </w:pBdr>
      <w:tabs>
        <w:tab w:val="right" w:pos="9026"/>
      </w:tabs>
    </w:pPr>
    <w:r>
      <w:rPr>
        <w:color w:val="999999"/>
        <w:sz w:val="16"/>
        <w:szCs w:val="16"/>
      </w:rPr>
      <w:t>OconEco Operational Guideline</w:t>
    </w: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C71296">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A1542" w14:textId="77777777" w:rsidR="001F2543" w:rsidRDefault="001F2543">
      <w:r>
        <w:separator/>
      </w:r>
    </w:p>
  </w:footnote>
  <w:footnote w:type="continuationSeparator" w:id="0">
    <w:p w14:paraId="3643C915" w14:textId="77777777" w:rsidR="001F2543" w:rsidRDefault="001F2543">
      <w:r>
        <w:continuationSeparator/>
      </w:r>
    </w:p>
  </w:footnote>
  <w:footnote w:id="1">
    <w:p w14:paraId="347E195E" w14:textId="77777777" w:rsidR="00B46EA7" w:rsidRDefault="00000000">
      <w:pPr>
        <w:spacing w:after="200"/>
      </w:pPr>
      <w:r>
        <w:rPr>
          <w:rStyle w:val="FootnoteReference"/>
        </w:rPr>
        <w:footnoteRef/>
      </w:r>
      <w:r>
        <w:t>See Espeland and Stevens (1998), “Commensuration as a Social Process,” Annual Review of Sociology 24.</w:t>
      </w:r>
    </w:p>
  </w:footnote>
  <w:footnote w:id="2">
    <w:p w14:paraId="347E195F" w14:textId="77777777" w:rsidR="00B46EA7" w:rsidRDefault="00000000">
      <w:pPr>
        <w:spacing w:after="200"/>
      </w:pPr>
      <w:r>
        <w:rPr>
          <w:rStyle w:val="FootnoteReference"/>
        </w:rPr>
        <w:footnoteRef/>
      </w:r>
      <w:r>
        <w:t>As specified in Article III, Section 4(ii) of the IBRD Articles of Agreement.</w:t>
      </w:r>
    </w:p>
  </w:footnote>
  <w:footnote w:id="3">
    <w:p w14:paraId="347E1960" w14:textId="77777777" w:rsidR="00B46EA7" w:rsidRDefault="00000000">
      <w:pPr>
        <w:spacing w:after="200"/>
      </w:pPr>
      <w:r>
        <w:rPr>
          <w:rStyle w:val="FootnoteReference"/>
        </w:rPr>
        <w:footnoteRef/>
      </w:r>
      <w:r>
        <w:t>See IDA/R73-7 (6 March 1973) and the subsequent four-tier preference scheme.</w:t>
      </w:r>
    </w:p>
  </w:footnote>
  <w:footnote w:id="4">
    <w:p w14:paraId="347E1961" w14:textId="77777777" w:rsidR="00B46EA7" w:rsidRDefault="00000000">
      <w:pPr>
        <w:spacing w:after="200"/>
      </w:pPr>
      <w:r>
        <w:rPr>
          <w:rStyle w:val="FootnoteReference"/>
        </w:rPr>
        <w:footnoteRef/>
      </w:r>
      <w:r>
        <w:t>Heckelman, Knack &amp; Rogers (2011), “Crossing the Threshold: An Analysis of IBRD Graduation Policy,” World Bank Policy Research WP 5531.</w:t>
      </w:r>
    </w:p>
  </w:footnote>
  <w:footnote w:id="5">
    <w:p w14:paraId="347E1962" w14:textId="77777777" w:rsidR="00B46EA7" w:rsidRDefault="00000000">
      <w:pPr>
        <w:spacing w:after="200"/>
      </w:pPr>
      <w:r>
        <w:rPr>
          <w:rStyle w:val="FootnoteReference"/>
        </w:rPr>
        <w:footnoteRef/>
      </w:r>
      <w:r>
        <w:t>Porter (2012), “Thin Description: Surface and Depth in Science and Science Studies.”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E195C" w14:textId="77777777" w:rsidR="00B46EA7" w:rsidRDefault="00000000">
    <w:pPr>
      <w:pBdr>
        <w:bottom w:val="single" w:sz="6" w:space="1" w:color="2E75B6"/>
      </w:pBdr>
      <w:tabs>
        <w:tab w:val="right" w:pos="9026"/>
      </w:tabs>
    </w:pPr>
    <w:r>
      <w:rPr>
        <w:color w:val="2E75B6"/>
        <w:sz w:val="18"/>
        <w:szCs w:val="18"/>
      </w:rPr>
      <w:t>OG-002  Commonwealth Balance Sheet Compilation</w:t>
    </w:r>
    <w:r>
      <w:rPr>
        <w:color w:val="999999"/>
        <w:sz w:val="18"/>
        <w:szCs w:val="18"/>
      </w:rPr>
      <w:tab/>
      <w:t>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D79BF"/>
    <w:multiLevelType w:val="hybridMultilevel"/>
    <w:tmpl w:val="ACD4BD96"/>
    <w:lvl w:ilvl="0" w:tplc="BD0E7696">
      <w:start w:val="1"/>
      <w:numFmt w:val="bullet"/>
      <w:lvlText w:val="•"/>
      <w:lvlJc w:val="left"/>
      <w:pPr>
        <w:ind w:left="720" w:hanging="360"/>
      </w:pPr>
    </w:lvl>
    <w:lvl w:ilvl="1" w:tplc="B4CC95B4">
      <w:numFmt w:val="decimal"/>
      <w:lvlText w:val=""/>
      <w:lvlJc w:val="left"/>
    </w:lvl>
    <w:lvl w:ilvl="2" w:tplc="B0321EA4">
      <w:numFmt w:val="decimal"/>
      <w:lvlText w:val=""/>
      <w:lvlJc w:val="left"/>
    </w:lvl>
    <w:lvl w:ilvl="3" w:tplc="C61A5F4C">
      <w:numFmt w:val="decimal"/>
      <w:lvlText w:val=""/>
      <w:lvlJc w:val="left"/>
    </w:lvl>
    <w:lvl w:ilvl="4" w:tplc="5296AAA2">
      <w:numFmt w:val="decimal"/>
      <w:lvlText w:val=""/>
      <w:lvlJc w:val="left"/>
    </w:lvl>
    <w:lvl w:ilvl="5" w:tplc="ADAE939A">
      <w:numFmt w:val="decimal"/>
      <w:lvlText w:val=""/>
      <w:lvlJc w:val="left"/>
    </w:lvl>
    <w:lvl w:ilvl="6" w:tplc="E3802DAA">
      <w:numFmt w:val="decimal"/>
      <w:lvlText w:val=""/>
      <w:lvlJc w:val="left"/>
    </w:lvl>
    <w:lvl w:ilvl="7" w:tplc="62280822">
      <w:numFmt w:val="decimal"/>
      <w:lvlText w:val=""/>
      <w:lvlJc w:val="left"/>
    </w:lvl>
    <w:lvl w:ilvl="8" w:tplc="6B9A8662">
      <w:numFmt w:val="decimal"/>
      <w:lvlText w:val=""/>
      <w:lvlJc w:val="left"/>
    </w:lvl>
  </w:abstractNum>
  <w:abstractNum w:abstractNumId="1" w15:restartNumberingAfterBreak="0">
    <w:nsid w:val="432A732D"/>
    <w:multiLevelType w:val="hybridMultilevel"/>
    <w:tmpl w:val="A10A710C"/>
    <w:lvl w:ilvl="0" w:tplc="434043BE">
      <w:start w:val="1"/>
      <w:numFmt w:val="bullet"/>
      <w:lvlText w:val="•"/>
      <w:lvlJc w:val="left"/>
      <w:pPr>
        <w:ind w:left="720" w:hanging="360"/>
      </w:pPr>
    </w:lvl>
    <w:lvl w:ilvl="1" w:tplc="257A4472">
      <w:numFmt w:val="decimal"/>
      <w:lvlText w:val=""/>
      <w:lvlJc w:val="left"/>
    </w:lvl>
    <w:lvl w:ilvl="2" w:tplc="5832DB20">
      <w:numFmt w:val="decimal"/>
      <w:lvlText w:val=""/>
      <w:lvlJc w:val="left"/>
    </w:lvl>
    <w:lvl w:ilvl="3" w:tplc="FCF4BEC6">
      <w:numFmt w:val="decimal"/>
      <w:lvlText w:val=""/>
      <w:lvlJc w:val="left"/>
    </w:lvl>
    <w:lvl w:ilvl="4" w:tplc="4F2CB910">
      <w:numFmt w:val="decimal"/>
      <w:lvlText w:val=""/>
      <w:lvlJc w:val="left"/>
    </w:lvl>
    <w:lvl w:ilvl="5" w:tplc="0B7CD6B6">
      <w:numFmt w:val="decimal"/>
      <w:lvlText w:val=""/>
      <w:lvlJc w:val="left"/>
    </w:lvl>
    <w:lvl w:ilvl="6" w:tplc="9D6E230E">
      <w:numFmt w:val="decimal"/>
      <w:lvlText w:val=""/>
      <w:lvlJc w:val="left"/>
    </w:lvl>
    <w:lvl w:ilvl="7" w:tplc="21C00D80">
      <w:numFmt w:val="decimal"/>
      <w:lvlText w:val=""/>
      <w:lvlJc w:val="left"/>
    </w:lvl>
    <w:lvl w:ilvl="8" w:tplc="41084054">
      <w:numFmt w:val="decimal"/>
      <w:lvlText w:val=""/>
      <w:lvlJc w:val="left"/>
    </w:lvl>
  </w:abstractNum>
  <w:abstractNum w:abstractNumId="2" w15:restartNumberingAfterBreak="0">
    <w:nsid w:val="47055EF1"/>
    <w:multiLevelType w:val="hybridMultilevel"/>
    <w:tmpl w:val="FA3A46E6"/>
    <w:lvl w:ilvl="0" w:tplc="62A245C2">
      <w:start w:val="1"/>
      <w:numFmt w:val="bullet"/>
      <w:lvlText w:val="•"/>
      <w:lvlJc w:val="left"/>
      <w:pPr>
        <w:ind w:left="720" w:hanging="360"/>
      </w:pPr>
    </w:lvl>
    <w:lvl w:ilvl="1" w:tplc="9E0A7C60">
      <w:numFmt w:val="decimal"/>
      <w:lvlText w:val=""/>
      <w:lvlJc w:val="left"/>
    </w:lvl>
    <w:lvl w:ilvl="2" w:tplc="08167926">
      <w:numFmt w:val="decimal"/>
      <w:lvlText w:val=""/>
      <w:lvlJc w:val="left"/>
    </w:lvl>
    <w:lvl w:ilvl="3" w:tplc="1A185D14">
      <w:numFmt w:val="decimal"/>
      <w:lvlText w:val=""/>
      <w:lvlJc w:val="left"/>
    </w:lvl>
    <w:lvl w:ilvl="4" w:tplc="5CDE0846">
      <w:numFmt w:val="decimal"/>
      <w:lvlText w:val=""/>
      <w:lvlJc w:val="left"/>
    </w:lvl>
    <w:lvl w:ilvl="5" w:tplc="AC5AAA92">
      <w:numFmt w:val="decimal"/>
      <w:lvlText w:val=""/>
      <w:lvlJc w:val="left"/>
    </w:lvl>
    <w:lvl w:ilvl="6" w:tplc="4D0636D2">
      <w:numFmt w:val="decimal"/>
      <w:lvlText w:val=""/>
      <w:lvlJc w:val="left"/>
    </w:lvl>
    <w:lvl w:ilvl="7" w:tplc="7FC648DA">
      <w:numFmt w:val="decimal"/>
      <w:lvlText w:val=""/>
      <w:lvlJc w:val="left"/>
    </w:lvl>
    <w:lvl w:ilvl="8" w:tplc="2D0C73E0">
      <w:numFmt w:val="decimal"/>
      <w:lvlText w:val=""/>
      <w:lvlJc w:val="left"/>
    </w:lvl>
  </w:abstractNum>
  <w:abstractNum w:abstractNumId="3" w15:restartNumberingAfterBreak="0">
    <w:nsid w:val="5A523280"/>
    <w:multiLevelType w:val="hybridMultilevel"/>
    <w:tmpl w:val="36223DEE"/>
    <w:lvl w:ilvl="0" w:tplc="6868D31A">
      <w:start w:val="1"/>
      <w:numFmt w:val="bullet"/>
      <w:lvlText w:val="•"/>
      <w:lvlJc w:val="left"/>
      <w:pPr>
        <w:ind w:left="720" w:hanging="360"/>
      </w:pPr>
    </w:lvl>
    <w:lvl w:ilvl="1" w:tplc="0DEC7FB4">
      <w:numFmt w:val="decimal"/>
      <w:lvlText w:val=""/>
      <w:lvlJc w:val="left"/>
    </w:lvl>
    <w:lvl w:ilvl="2" w:tplc="ADD6623E">
      <w:numFmt w:val="decimal"/>
      <w:lvlText w:val=""/>
      <w:lvlJc w:val="left"/>
    </w:lvl>
    <w:lvl w:ilvl="3" w:tplc="4EBE5C16">
      <w:numFmt w:val="decimal"/>
      <w:lvlText w:val=""/>
      <w:lvlJc w:val="left"/>
    </w:lvl>
    <w:lvl w:ilvl="4" w:tplc="479C786C">
      <w:numFmt w:val="decimal"/>
      <w:lvlText w:val=""/>
      <w:lvlJc w:val="left"/>
    </w:lvl>
    <w:lvl w:ilvl="5" w:tplc="4BE4D47E">
      <w:numFmt w:val="decimal"/>
      <w:lvlText w:val=""/>
      <w:lvlJc w:val="left"/>
    </w:lvl>
    <w:lvl w:ilvl="6" w:tplc="9C2CEBA2">
      <w:numFmt w:val="decimal"/>
      <w:lvlText w:val=""/>
      <w:lvlJc w:val="left"/>
    </w:lvl>
    <w:lvl w:ilvl="7" w:tplc="59A47864">
      <w:numFmt w:val="decimal"/>
      <w:lvlText w:val=""/>
      <w:lvlJc w:val="left"/>
    </w:lvl>
    <w:lvl w:ilvl="8" w:tplc="366A096C">
      <w:numFmt w:val="decimal"/>
      <w:lvlText w:val=""/>
      <w:lvlJc w:val="left"/>
    </w:lvl>
  </w:abstractNum>
  <w:abstractNum w:abstractNumId="4" w15:restartNumberingAfterBreak="0">
    <w:nsid w:val="6479355C"/>
    <w:multiLevelType w:val="hybridMultilevel"/>
    <w:tmpl w:val="3444A456"/>
    <w:lvl w:ilvl="0" w:tplc="26C23B08">
      <w:start w:val="1"/>
      <w:numFmt w:val="bullet"/>
      <w:lvlText w:val="●"/>
      <w:lvlJc w:val="left"/>
      <w:pPr>
        <w:ind w:left="720" w:hanging="360"/>
      </w:pPr>
    </w:lvl>
    <w:lvl w:ilvl="1" w:tplc="35F41B54">
      <w:start w:val="1"/>
      <w:numFmt w:val="bullet"/>
      <w:lvlText w:val="○"/>
      <w:lvlJc w:val="left"/>
      <w:pPr>
        <w:ind w:left="1440" w:hanging="360"/>
      </w:pPr>
    </w:lvl>
    <w:lvl w:ilvl="2" w:tplc="E4C4AE1E">
      <w:start w:val="1"/>
      <w:numFmt w:val="bullet"/>
      <w:lvlText w:val="■"/>
      <w:lvlJc w:val="left"/>
      <w:pPr>
        <w:ind w:left="2160" w:hanging="360"/>
      </w:pPr>
    </w:lvl>
    <w:lvl w:ilvl="3" w:tplc="46BABBE4">
      <w:start w:val="1"/>
      <w:numFmt w:val="bullet"/>
      <w:lvlText w:val="●"/>
      <w:lvlJc w:val="left"/>
      <w:pPr>
        <w:ind w:left="2880" w:hanging="360"/>
      </w:pPr>
    </w:lvl>
    <w:lvl w:ilvl="4" w:tplc="D15A049C">
      <w:start w:val="1"/>
      <w:numFmt w:val="bullet"/>
      <w:lvlText w:val="○"/>
      <w:lvlJc w:val="left"/>
      <w:pPr>
        <w:ind w:left="3600" w:hanging="360"/>
      </w:pPr>
    </w:lvl>
    <w:lvl w:ilvl="5" w:tplc="31A29FE0">
      <w:start w:val="1"/>
      <w:numFmt w:val="bullet"/>
      <w:lvlText w:val="■"/>
      <w:lvlJc w:val="left"/>
      <w:pPr>
        <w:ind w:left="4320" w:hanging="360"/>
      </w:pPr>
    </w:lvl>
    <w:lvl w:ilvl="6" w:tplc="F072DE44">
      <w:start w:val="1"/>
      <w:numFmt w:val="bullet"/>
      <w:lvlText w:val="●"/>
      <w:lvlJc w:val="left"/>
      <w:pPr>
        <w:ind w:left="5040" w:hanging="360"/>
      </w:pPr>
    </w:lvl>
    <w:lvl w:ilvl="7" w:tplc="98D8236A">
      <w:start w:val="1"/>
      <w:numFmt w:val="bullet"/>
      <w:lvlText w:val="●"/>
      <w:lvlJc w:val="left"/>
      <w:pPr>
        <w:ind w:left="5760" w:hanging="360"/>
      </w:pPr>
    </w:lvl>
    <w:lvl w:ilvl="8" w:tplc="17FCA6CA">
      <w:start w:val="1"/>
      <w:numFmt w:val="bullet"/>
      <w:lvlText w:val="●"/>
      <w:lvlJc w:val="left"/>
      <w:pPr>
        <w:ind w:left="6480" w:hanging="360"/>
      </w:pPr>
    </w:lvl>
  </w:abstractNum>
  <w:abstractNum w:abstractNumId="5" w15:restartNumberingAfterBreak="0">
    <w:nsid w:val="73BA66F2"/>
    <w:multiLevelType w:val="hybridMultilevel"/>
    <w:tmpl w:val="3A5C62BC"/>
    <w:lvl w:ilvl="0" w:tplc="3BBE71DC">
      <w:start w:val="1"/>
      <w:numFmt w:val="decimal"/>
      <w:lvlText w:val="Step %1."/>
      <w:lvlJc w:val="left"/>
      <w:pPr>
        <w:ind w:left="720" w:hanging="360"/>
      </w:pPr>
    </w:lvl>
    <w:lvl w:ilvl="1" w:tplc="901CF9EE">
      <w:numFmt w:val="decimal"/>
      <w:lvlText w:val=""/>
      <w:lvlJc w:val="left"/>
    </w:lvl>
    <w:lvl w:ilvl="2" w:tplc="E13EA3BA">
      <w:numFmt w:val="decimal"/>
      <w:lvlText w:val=""/>
      <w:lvlJc w:val="left"/>
    </w:lvl>
    <w:lvl w:ilvl="3" w:tplc="BF709B38">
      <w:numFmt w:val="decimal"/>
      <w:lvlText w:val=""/>
      <w:lvlJc w:val="left"/>
    </w:lvl>
    <w:lvl w:ilvl="4" w:tplc="1F206A38">
      <w:numFmt w:val="decimal"/>
      <w:lvlText w:val=""/>
      <w:lvlJc w:val="left"/>
    </w:lvl>
    <w:lvl w:ilvl="5" w:tplc="3F6680D8">
      <w:numFmt w:val="decimal"/>
      <w:lvlText w:val=""/>
      <w:lvlJc w:val="left"/>
    </w:lvl>
    <w:lvl w:ilvl="6" w:tplc="404270BE">
      <w:numFmt w:val="decimal"/>
      <w:lvlText w:val=""/>
      <w:lvlJc w:val="left"/>
    </w:lvl>
    <w:lvl w:ilvl="7" w:tplc="9F5883A6">
      <w:numFmt w:val="decimal"/>
      <w:lvlText w:val=""/>
      <w:lvlJc w:val="left"/>
    </w:lvl>
    <w:lvl w:ilvl="8" w:tplc="0526D1C8">
      <w:numFmt w:val="decimal"/>
      <w:lvlText w:val=""/>
      <w:lvlJc w:val="left"/>
    </w:lvl>
  </w:abstractNum>
  <w:abstractNum w:abstractNumId="6" w15:restartNumberingAfterBreak="0">
    <w:nsid w:val="73DE657A"/>
    <w:multiLevelType w:val="hybridMultilevel"/>
    <w:tmpl w:val="6BEA7348"/>
    <w:lvl w:ilvl="0" w:tplc="289E783A">
      <w:start w:val="1"/>
      <w:numFmt w:val="bullet"/>
      <w:lvlText w:val="•"/>
      <w:lvlJc w:val="left"/>
      <w:pPr>
        <w:ind w:left="720" w:hanging="360"/>
      </w:pPr>
    </w:lvl>
    <w:lvl w:ilvl="1" w:tplc="DCFA1DBC">
      <w:numFmt w:val="decimal"/>
      <w:lvlText w:val=""/>
      <w:lvlJc w:val="left"/>
    </w:lvl>
    <w:lvl w:ilvl="2" w:tplc="19621076">
      <w:numFmt w:val="decimal"/>
      <w:lvlText w:val=""/>
      <w:lvlJc w:val="left"/>
    </w:lvl>
    <w:lvl w:ilvl="3" w:tplc="D4CC2282">
      <w:numFmt w:val="decimal"/>
      <w:lvlText w:val=""/>
      <w:lvlJc w:val="left"/>
    </w:lvl>
    <w:lvl w:ilvl="4" w:tplc="1BF28410">
      <w:numFmt w:val="decimal"/>
      <w:lvlText w:val=""/>
      <w:lvlJc w:val="left"/>
    </w:lvl>
    <w:lvl w:ilvl="5" w:tplc="E3B8A222">
      <w:numFmt w:val="decimal"/>
      <w:lvlText w:val=""/>
      <w:lvlJc w:val="left"/>
    </w:lvl>
    <w:lvl w:ilvl="6" w:tplc="940640DA">
      <w:numFmt w:val="decimal"/>
      <w:lvlText w:val=""/>
      <w:lvlJc w:val="left"/>
    </w:lvl>
    <w:lvl w:ilvl="7" w:tplc="57D607E2">
      <w:numFmt w:val="decimal"/>
      <w:lvlText w:val=""/>
      <w:lvlJc w:val="left"/>
    </w:lvl>
    <w:lvl w:ilvl="8" w:tplc="E0E412BC">
      <w:numFmt w:val="decimal"/>
      <w:lvlText w:val=""/>
      <w:lvlJc w:val="left"/>
    </w:lvl>
  </w:abstractNum>
  <w:abstractNum w:abstractNumId="7" w15:restartNumberingAfterBreak="0">
    <w:nsid w:val="74EF40A6"/>
    <w:multiLevelType w:val="hybridMultilevel"/>
    <w:tmpl w:val="D66211AA"/>
    <w:lvl w:ilvl="0" w:tplc="1E1C7F0E">
      <w:start w:val="1"/>
      <w:numFmt w:val="bullet"/>
      <w:lvlText w:val="•"/>
      <w:lvlJc w:val="left"/>
      <w:pPr>
        <w:ind w:left="720" w:hanging="360"/>
      </w:pPr>
    </w:lvl>
    <w:lvl w:ilvl="1" w:tplc="BF189CAE">
      <w:numFmt w:val="decimal"/>
      <w:lvlText w:val=""/>
      <w:lvlJc w:val="left"/>
    </w:lvl>
    <w:lvl w:ilvl="2" w:tplc="560EBEDE">
      <w:numFmt w:val="decimal"/>
      <w:lvlText w:val=""/>
      <w:lvlJc w:val="left"/>
    </w:lvl>
    <w:lvl w:ilvl="3" w:tplc="CD18B476">
      <w:numFmt w:val="decimal"/>
      <w:lvlText w:val=""/>
      <w:lvlJc w:val="left"/>
    </w:lvl>
    <w:lvl w:ilvl="4" w:tplc="951E2928">
      <w:numFmt w:val="decimal"/>
      <w:lvlText w:val=""/>
      <w:lvlJc w:val="left"/>
    </w:lvl>
    <w:lvl w:ilvl="5" w:tplc="3D5EBD58">
      <w:numFmt w:val="decimal"/>
      <w:lvlText w:val=""/>
      <w:lvlJc w:val="left"/>
    </w:lvl>
    <w:lvl w:ilvl="6" w:tplc="5EBCBEF0">
      <w:numFmt w:val="decimal"/>
      <w:lvlText w:val=""/>
      <w:lvlJc w:val="left"/>
    </w:lvl>
    <w:lvl w:ilvl="7" w:tplc="793A2836">
      <w:numFmt w:val="decimal"/>
      <w:lvlText w:val=""/>
      <w:lvlJc w:val="left"/>
    </w:lvl>
    <w:lvl w:ilvl="8" w:tplc="25AC99D6">
      <w:numFmt w:val="decimal"/>
      <w:lvlText w:val=""/>
      <w:lvlJc w:val="left"/>
    </w:lvl>
  </w:abstractNum>
  <w:num w:numId="1" w16cid:durableId="2115437401">
    <w:abstractNumId w:val="4"/>
    <w:lvlOverride w:ilvl="0">
      <w:startOverride w:val="1"/>
    </w:lvlOverride>
  </w:num>
  <w:num w:numId="2" w16cid:durableId="981616391">
    <w:abstractNumId w:val="1"/>
    <w:lvlOverride w:ilvl="0">
      <w:startOverride w:val="1"/>
    </w:lvlOverride>
  </w:num>
  <w:num w:numId="3" w16cid:durableId="52483367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EA7"/>
    <w:rsid w:val="00080F67"/>
    <w:rsid w:val="000A5DAF"/>
    <w:rsid w:val="000E0744"/>
    <w:rsid w:val="001041F0"/>
    <w:rsid w:val="0014584A"/>
    <w:rsid w:val="001D6674"/>
    <w:rsid w:val="001F2543"/>
    <w:rsid w:val="0035434C"/>
    <w:rsid w:val="00387E0D"/>
    <w:rsid w:val="003B56CC"/>
    <w:rsid w:val="00425843"/>
    <w:rsid w:val="00430D6D"/>
    <w:rsid w:val="00455735"/>
    <w:rsid w:val="004D2E8E"/>
    <w:rsid w:val="00517EE5"/>
    <w:rsid w:val="005643BD"/>
    <w:rsid w:val="00567491"/>
    <w:rsid w:val="00603F41"/>
    <w:rsid w:val="0064044D"/>
    <w:rsid w:val="006A27D2"/>
    <w:rsid w:val="006B3D9E"/>
    <w:rsid w:val="00721A53"/>
    <w:rsid w:val="007C7B92"/>
    <w:rsid w:val="007F5557"/>
    <w:rsid w:val="00826C3C"/>
    <w:rsid w:val="0087301F"/>
    <w:rsid w:val="00874CB4"/>
    <w:rsid w:val="0088684B"/>
    <w:rsid w:val="008F68D2"/>
    <w:rsid w:val="0092021B"/>
    <w:rsid w:val="00924493"/>
    <w:rsid w:val="00986C85"/>
    <w:rsid w:val="00A9170D"/>
    <w:rsid w:val="00AB38C3"/>
    <w:rsid w:val="00AD697F"/>
    <w:rsid w:val="00B265C5"/>
    <w:rsid w:val="00B46EA7"/>
    <w:rsid w:val="00BC5F5F"/>
    <w:rsid w:val="00C53B0C"/>
    <w:rsid w:val="00C5700B"/>
    <w:rsid w:val="00C71296"/>
    <w:rsid w:val="00C902F4"/>
    <w:rsid w:val="00CF04D4"/>
    <w:rsid w:val="00D11B9F"/>
    <w:rsid w:val="00D17FF1"/>
    <w:rsid w:val="00D363BE"/>
    <w:rsid w:val="00DA20A1"/>
    <w:rsid w:val="00DC18B8"/>
    <w:rsid w:val="00DF565F"/>
    <w:rsid w:val="00E00DC0"/>
    <w:rsid w:val="00E45839"/>
    <w:rsid w:val="00EB44B4"/>
    <w:rsid w:val="00F855AE"/>
    <w:rsid w:val="00FB0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E1860"/>
  <w15:docId w15:val="{18F145CC-6C5C-4D44-AF2B-6012423BE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sz w:val="32"/>
      <w:szCs w:val="32"/>
    </w:rPr>
  </w:style>
  <w:style w:type="paragraph" w:styleId="Heading2">
    <w:name w:val="heading 2"/>
    <w:uiPriority w:val="9"/>
    <w:unhideWhenUsed/>
    <w:qFormat/>
    <w:pPr>
      <w:spacing w:before="240" w:after="180"/>
      <w:outlineLvl w:val="1"/>
    </w:pPr>
    <w:rPr>
      <w:b/>
      <w:bCs/>
      <w:sz w:val="28"/>
      <w:szCs w:val="28"/>
    </w:rPr>
  </w:style>
  <w:style w:type="paragraph" w:styleId="Heading3">
    <w:name w:val="heading 3"/>
    <w:uiPriority w:val="9"/>
    <w:unhideWhenUsed/>
    <w:qFormat/>
    <w:pPr>
      <w:spacing w:before="200" w:after="1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8</Pages>
  <Words>2642</Words>
  <Characters>15066</Characters>
  <Application>Microsoft Office Word</Application>
  <DocSecurity>0</DocSecurity>
  <Lines>125</Lines>
  <Paragraphs>35</Paragraphs>
  <ScaleCrop>false</ScaleCrop>
  <Company/>
  <LinksUpToDate>false</LinksUpToDate>
  <CharactersWithSpaces>17673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O'Connor</cp:lastModifiedBy>
  <cp:revision>50</cp:revision>
  <dcterms:created xsi:type="dcterms:W3CDTF">2026-03-09T02:17:00Z</dcterms:created>
  <dcterms:modified xsi:type="dcterms:W3CDTF">2026-03-09T03:06:00Z</dcterms:modified>
</cp:coreProperties>
</file>