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Document ID</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OG-004</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3.0</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Title</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Purchasing Power Parities, the Third Market, and the Sovereign Market-to-Book Gap</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12 March 2026</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Series</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Operational Guidelines</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Active — Discovery stage</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Supersedes</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OG-004 v2.0 (12 March 2026)</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Related</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OG-002 (Balance Sheet), OG-003 (PA), IARIW Gerschenkron Draft, Glossary</w:t>
            </w:r>
          </w:p>
        </w:tc>
      </w:tr>
    </w:tbl>
    <w:p>
      <w:pPr>
        <w:spacing w:after="100" w:before="200"/>
      </w:pPr>
    </w:p>
    <w:p>
      <w:pPr>
        <w:pBdr>
          <w:bottom w:val="single" w:color="2E5090" w:sz="6" w:space="1"/>
        </w:pBdr>
        <w:spacing w:after="200"/>
      </w:pPr>
      <w:r>
        <w:rPr>
          <w:rFonts w:ascii="Arial" w:cs="Arial" w:eastAsia="Arial" w:hAnsi="Arial"/>
          <w:b/>
          <w:bCs/>
          <w:color w:val="2E5090"/>
          <w:sz w:val="34"/>
          <w:szCs w:val="34"/>
        </w:rPr>
        <w:t xml:space="preserve">Purchasing Power Parities, the Third Market, and the Sovereign Market-to-Book Gap</w:t>
      </w:r>
    </w:p>
    <w:p>
      <w:pPr>
        <w:spacing w:after="120"/>
      </w:pPr>
      <w:r>
        <w:rPr>
          <w:rFonts w:ascii="Arial" w:cs="Arial" w:eastAsia="Arial" w:hAnsi="Arial"/>
          <w:i/>
          <w:iCs/>
          <w:sz w:val="21"/>
          <w:szCs w:val="21"/>
        </w:rPr>
        <w:t xml:space="preserve">OconEco Operational Guideline OG-004, Version 3.0</w:t>
      </w:r>
    </w:p>
    <w:p>
      <w:pPr>
        <w:spacing w:after="80"/>
      </w:pPr>
      <w:r>
        <w:rPr>
          <w:rFonts w:ascii="Arial" w:cs="Arial" w:eastAsia="Arial" w:hAnsi="Arial"/>
          <w:i/>
          <w:iCs/>
          <w:color w:val="666666"/>
          <w:sz w:val="19"/>
          <w:szCs w:val="19"/>
        </w:rPr>
        <w:t xml:space="preserve">v3.0 corrects the IMF/Bretton Woods narrative (v2.0 erroneously characterized the Fund as suppressing capital flows); adds new Part III on the OPEC oil shock as a relative price discontinuity; refines the Gerschenkron characterization; incorporates convergence subperiod framework.</w:t>
      </w:r>
    </w:p>
    <w:p>
      <w:pPr>
        <w:spacing w:after="200"/>
      </w:pPr>
    </w:p>
    <w:p>
      <w:pPr>
        <w:pStyle w:val="Heading1"/>
        <w:spacing w:after="140" w:before="280"/>
      </w:pPr>
      <w:r>
        <w:t xml:space="preserve">Part I. Three Markets, Three Spokes, One Wheel</w:t>
      </w:r>
    </w:p>
    <w:p>
      <w:pPr>
        <w:pStyle w:val="Heading2"/>
        <w:spacing w:after="140" w:before="280"/>
      </w:pPr>
      <w:r>
        <w:t xml:space="preserve">1. The Hicksian Three-Market Requirement</w:t>
      </w:r>
    </w:p>
    <w:p>
      <w:pPr>
        <w:spacing w:after="120"/>
      </w:pPr>
      <w:r>
        <w:rPr>
          <w:rFonts w:ascii="Arial" w:cs="Arial" w:eastAsia="Arial" w:hAnsi="Arial"/>
          <w:sz w:val="21"/>
          <w:szCs w:val="21"/>
        </w:rPr>
        <w:t xml:space="preserve">J.R. Hicks’s IS-LM framework (1937) and Don Patinkin’s </w:t>
      </w:r>
      <w:r>
        <w:rPr>
          <w:rFonts w:ascii="Arial" w:cs="Arial" w:eastAsia="Arial" w:hAnsi="Arial"/>
          <w:i/>
          <w:iCs/>
          <w:sz w:val="21"/>
          <w:szCs w:val="21"/>
        </w:rPr>
        <w:t xml:space="preserve">Money, Interest, and Prices</w:t>
      </w:r>
      <w:r>
        <w:rPr>
          <w:rFonts w:ascii="Arial" w:cs="Arial" w:eastAsia="Arial" w:hAnsi="Arial"/>
          <w:sz w:val="21"/>
          <w:szCs w:val="21"/>
        </w:rPr>
        <w:t xml:space="preserve"> (1956) established that macroeconomic equilibrium requires simultaneous clearing of three markets: </w:t>
      </w:r>
      <w:r>
        <w:rPr>
          <w:rFonts w:ascii="Arial" w:cs="Arial" w:eastAsia="Arial" w:hAnsi="Arial"/>
          <w:b/>
          <w:bCs/>
          <w:sz w:val="21"/>
          <w:szCs w:val="21"/>
        </w:rPr>
        <w:t xml:space="preserve">goods and services</w:t>
      </w:r>
      <w:r>
        <w:rPr>
          <w:rFonts w:ascii="Arial" w:cs="Arial" w:eastAsia="Arial" w:hAnsi="Arial"/>
          <w:sz w:val="21"/>
          <w:szCs w:val="21"/>
        </w:rPr>
        <w:t xml:space="preserve">, </w:t>
      </w:r>
      <w:r>
        <w:rPr>
          <w:rFonts w:ascii="Arial" w:cs="Arial" w:eastAsia="Arial" w:hAnsi="Arial"/>
          <w:b/>
          <w:bCs/>
          <w:sz w:val="21"/>
          <w:szCs w:val="21"/>
        </w:rPr>
        <w:t xml:space="preserve">money</w:t>
      </w:r>
      <w:r>
        <w:rPr>
          <w:rFonts w:ascii="Arial" w:cs="Arial" w:eastAsia="Arial" w:hAnsi="Arial"/>
          <w:sz w:val="21"/>
          <w:szCs w:val="21"/>
        </w:rPr>
        <w:t xml:space="preserve">, and </w:t>
      </w:r>
      <w:r>
        <w:rPr>
          <w:rFonts w:ascii="Arial" w:cs="Arial" w:eastAsia="Arial" w:hAnsi="Arial"/>
          <w:b/>
          <w:bCs/>
          <w:sz w:val="21"/>
          <w:szCs w:val="21"/>
        </w:rPr>
        <w:t xml:space="preserve">assets</w:t>
      </w:r>
      <w:r>
        <w:rPr>
          <w:rFonts w:ascii="Arial" w:cs="Arial" w:eastAsia="Arial" w:hAnsi="Arial"/>
          <w:sz w:val="21"/>
          <w:szCs w:val="21"/>
        </w:rPr>
        <w:t xml:space="preserve"> (bonds/capital). Walras’s Law guarantees that if any two clear, the third must also clear—which Hicks exploited to simplify the IS-LM diagram to just the goods and money curves. The asset market “disappears” from the blackboard, but not from reality.</w:t>
      </w:r>
    </w:p>
    <w:p>
      <w:pPr>
        <w:spacing w:after="120"/>
      </w:pPr>
      <w:r>
        <w:rPr>
          <w:rFonts w:ascii="Arial" w:cs="Arial" w:eastAsia="Arial" w:hAnsi="Arial"/>
          <w:sz w:val="21"/>
          <w:szCs w:val="21"/>
        </w:rPr>
        <w:t xml:space="preserve">This disappearing act is the theoretical origin of the PPP blind spot. Gustav Cassel’s 1918 formulation of purchasing power parity was a strictly two-market mechanism: it stipulated that exchange rates must eventually reflect the ratio of domestic price levels (goods and services market), which were driven by money supplies (money market). The asset market played no role in the theory.</w:t>
      </w:r>
    </w:p>
    <w:p>
      <w:pPr>
        <w:spacing w:after="120"/>
      </w:pPr>
      <w:r>
        <w:rPr>
          <w:rFonts w:ascii="Arial" w:cs="Arial" w:eastAsia="Arial" w:hAnsi="Arial"/>
          <w:sz w:val="21"/>
          <w:szCs w:val="21"/>
        </w:rPr>
        <w:t xml:space="preserve">When the Bretton Woods system was established in 1944, its architects—Keynes and White—designed the IMF to foster an orderly, multilateral payments system and to push members progressively toward convertibility and the removal of restrictions. The Fund’s Articles of Agreement (especially Article VIII) mandated relatively free capital flows. Both Keynes and White worried about destructive “hot money” of the interwar period, but they presumed that governments managing their own internal capital markets would suffice to keep the system stable while international trade expanded. The IMF diligently pushed members to remove capital controls, not to impose them. The Mundell-Fleming Trilemma—the proposition that a nation cannot simultaneously maintain fixed exchange rates, independent monetary policy, and free capital movement—is a retrospective analytical framework that emerged from the collapse of the Bretton Woods pegs in 1971–73. It was not in the minds of the 1944 drafters, and it describes a constraint facing individual member governments, not the design logic of the international system.</w:t>
      </w:r>
    </w:p>
    <w:p>
      <w:pPr>
        <w:spacing w:after="120"/>
      </w:pPr>
      <w:r>
        <w:rPr>
          <w:rFonts w:ascii="Arial" w:cs="Arial" w:eastAsia="Arial" w:hAnsi="Arial"/>
          <w:sz w:val="21"/>
          <w:szCs w:val="21"/>
        </w:rPr>
        <w:t xml:space="preserve">After Bretton Woods collapsed and exchange rates floated, currencies became overwhelmingly driven by the asset market—capital flows seeking yield across borders. Yet the PPP methodology remained anchored in Cassel’s two-market world. For wealth accounting, which is fundamentally about the valuation of asset claims, relying on a metric that deliberately abstracts away the asset market is a structural mismatch, not a minor approximation.</w:t>
      </w:r>
    </w:p>
    <w:p>
      <w:pPr>
        <w:pStyle w:val="Heading2"/>
        <w:spacing w:after="140" w:before="280"/>
      </w:pPr>
      <w:r>
        <w:t xml:space="preserve">2. Knight’s Wheel: P ≡ Y ≡ E and the Residual Trap</w:t>
      </w:r>
    </w:p>
    <w:p>
      <w:pPr>
        <w:spacing w:after="120"/>
      </w:pPr>
      <w:r>
        <w:rPr>
          <w:rFonts w:ascii="Arial" w:cs="Arial" w:eastAsia="Arial" w:hAnsi="Arial"/>
          <w:sz w:val="21"/>
          <w:szCs w:val="21"/>
        </w:rPr>
        <w:t xml:space="preserve">Frank Knight’s circular-flow identity—Production ≡ Income ≡ Expenditure (P ≡ Y ≡ E)—provides the operational frame. Each spoke measures the same aggregate from a different vantage:</w:t>
      </w:r>
    </w:p>
    <w:p>
      <w:pPr>
        <w:pStyle w:val="ListParagraph"/>
        <w:numPr>
          <w:ilvl w:val="0"/>
          <w:numId w:val="2"/>
        </w:numPr>
        <w:spacing w:after="80"/>
      </w:pPr>
      <w:r>
        <w:rPr>
          <w:rFonts w:ascii="Arial" w:cs="Arial" w:eastAsia="Arial" w:hAnsi="Arial"/>
          <w:b/>
          <w:bCs/>
          <w:sz w:val="21"/>
          <w:szCs w:val="21"/>
        </w:rPr>
        <w:t xml:space="preserve">The P spoke (Production / Value Added) </w:t>
      </w:r>
      <w:r>
        <w:rPr>
          <w:rFonts w:ascii="Arial" w:cs="Arial" w:eastAsia="Arial" w:hAnsi="Arial"/>
          <w:sz w:val="21"/>
          <w:szCs w:val="21"/>
        </w:rPr>
        <w:t xml:space="preserve">is where the most objective, replicable data resides. Input-Output tables, actuals where countries have them, constructed I-O where they do not, tested at primary, secondary, and tertiary levels. This is the hard backbone of national accounts.</w:t>
      </w:r>
    </w:p>
    <w:p>
      <w:pPr>
        <w:pStyle w:val="ListParagraph"/>
        <w:numPr>
          <w:ilvl w:val="0"/>
          <w:numId w:val="2"/>
        </w:numPr>
        <w:spacing w:after="80"/>
      </w:pPr>
      <w:r>
        <w:rPr>
          <w:rFonts w:ascii="Arial" w:cs="Arial" w:eastAsia="Arial" w:hAnsi="Arial"/>
          <w:b/>
          <w:bCs/>
          <w:sz w:val="21"/>
          <w:szCs w:val="21"/>
        </w:rPr>
        <w:t xml:space="preserve">The Y spoke (Income) </w:t>
      </w:r>
      <w:r>
        <w:rPr>
          <w:rFonts w:ascii="Arial" w:cs="Arial" w:eastAsia="Arial" w:hAnsi="Arial"/>
          <w:sz w:val="21"/>
          <w:szCs w:val="21"/>
        </w:rPr>
        <w:t xml:space="preserve">is derived from P by subtracting factor remunerations and net producer taxes/subsidies to estimate investment (I, via the S ≡ I identity), then subtracting I from Value Added to reach final consumption.</w:t>
      </w:r>
    </w:p>
    <w:p>
      <w:pPr>
        <w:pStyle w:val="ListParagraph"/>
        <w:numPr>
          <w:ilvl w:val="0"/>
          <w:numId w:val="2"/>
        </w:numPr>
        <w:spacing w:after="80"/>
      </w:pPr>
      <w:r>
        <w:rPr>
          <w:rFonts w:ascii="Arial" w:cs="Arial" w:eastAsia="Arial" w:hAnsi="Arial"/>
          <w:b/>
          <w:bCs/>
          <w:sz w:val="21"/>
          <w:szCs w:val="21"/>
        </w:rPr>
        <w:t xml:space="preserve">The E spoke (Expenditure) </w:t>
      </w:r>
      <w:r>
        <w:rPr>
          <w:rFonts w:ascii="Arial" w:cs="Arial" w:eastAsia="Arial" w:hAnsi="Arial"/>
          <w:sz w:val="21"/>
          <w:szCs w:val="21"/>
        </w:rPr>
        <w:t xml:space="preserve">is the residual of a residual—private consumption is what remains after government expenditure and the external accounts are removed from Y. SNA details below this level rely on bespoke survey sources. E is structurally the weakest spoke.</w:t>
      </w:r>
    </w:p>
    <w:p>
      <w:pPr>
        <w:spacing w:after="120"/>
      </w:pPr>
      <w:r>
        <w:rPr>
          <w:rFonts w:ascii="Arial" w:cs="Arial" w:eastAsia="Arial" w:hAnsi="Arial"/>
          <w:sz w:val="21"/>
          <w:szCs w:val="21"/>
        </w:rPr>
        <w:t xml:space="preserve">ICP takes this weakest, most residual-laden spoke and attempts to decompose it into price (P) and quantity (Q) components, relying heavily on opinion surveys for price collection. It then suppresses the detailed, objective price information inherent in the Production spoke and stipulates that these E-spoke price relatives apply not just to consumption at that time and place but across countries and across all three spokes. This is an appeal to the authority of an elaborate statistical exercise rather than to the numbers themselves.</w:t>
      </w:r>
    </w:p>
    <w:p>
      <w:pPr>
        <w:pStyle w:val="Heading2"/>
        <w:spacing w:after="140" w:before="280"/>
      </w:pPr>
      <w:r>
        <w:t xml:space="preserve">3. The S ≡ I Identity, UBS, and the Missing Asset Prices</w:t>
      </w:r>
    </w:p>
    <w:p>
      <w:pPr>
        <w:spacing w:after="120"/>
      </w:pPr>
      <w:r>
        <w:rPr>
          <w:rFonts w:ascii="Arial" w:cs="Arial" w:eastAsia="Arial" w:hAnsi="Arial"/>
          <w:sz w:val="21"/>
          <w:szCs w:val="21"/>
        </w:rPr>
        <w:t xml:space="preserve">The macroeconomic identity Saving ≡ Investment raises a question that haunted the ICP program from its inception: whose prices? National saving is an income-side concept; investment is an expenditure-side concept. If the price structures facing savers and investors differ—as they do whenever investment-goods prices diverge from consumption-goods prices—the identity holds in nominal terms only.</w:t>
      </w:r>
    </w:p>
    <w:p>
      <w:pPr>
        <w:spacing w:after="120"/>
      </w:pPr>
      <w:r>
        <w:rPr>
          <w:rFonts w:ascii="Arial" w:cs="Arial" w:eastAsia="Arial" w:hAnsi="Arial"/>
          <w:sz w:val="21"/>
          <w:szCs w:val="21"/>
        </w:rPr>
        <w:t xml:space="preserve">UBS’s </w:t>
      </w:r>
      <w:r>
        <w:rPr>
          <w:rFonts w:ascii="Arial" w:cs="Arial" w:eastAsia="Arial" w:hAnsi="Arial"/>
          <w:i/>
          <w:iCs/>
          <w:sz w:val="21"/>
          <w:szCs w:val="21"/>
        </w:rPr>
        <w:t xml:space="preserve">Prices and Earnings</w:t>
      </w:r>
      <w:r>
        <w:rPr>
          <w:rFonts w:ascii="Arial" w:cs="Arial" w:eastAsia="Arial" w:hAnsi="Arial"/>
          <w:sz w:val="21"/>
          <w:szCs w:val="21"/>
        </w:rPr>
        <w:t xml:space="preserve"> reports spoke directly to this wedge. UBS surveys actual prices and actual wages in major cities worldwide. The data reveal what ICP’s aggregation buries: the relationship between local wages and local prices differs radically across cities, and these differences systematically reflect productivity levels, traded/nontraded goods composition, and regulatory regimes. John’s effort to bring UBS into dialogue with ICP and PWT—to have PPPs consider all three spokes, including asset prices—met resistance partly because it exposed within-country price dispersion that national averages suppressed. This is exactly the frontier that OconEco’s Where hierarchy is built to accommodate.</w:t>
      </w:r>
    </w:p>
    <w:p>
      <w:pPr>
        <w:spacing w:after="120"/>
      </w:pPr>
      <w:r>
        <w:rPr>
          <w:rFonts w:ascii="Arial" w:cs="Arial" w:eastAsia="Arial" w:hAnsi="Arial"/>
          <w:sz w:val="21"/>
          <w:szCs w:val="21"/>
        </w:rPr>
        <w:t xml:space="preserve">None of this touches asset prices. ICP prices consumer goods. PWT’s investment PPPs price capital goods. But neither prices the stocks of assets—the factories, land, subsoil resources, human capital—that constitute wealth. Exchange rates, imperfect as they are, at least encode the capital-account signal: the market’s assessment of what a country’s asset stock is worth in international terms.</w:t>
      </w:r>
    </w:p>
    <w:p>
      <w:r>
        <w:br w:type="page"/>
      </w:r>
    </w:p>
    <w:p>
      <w:pPr>
        <w:pStyle w:val="Heading1"/>
        <w:spacing w:after="140" w:before="280"/>
      </w:pPr>
      <w:r>
        <w:t xml:space="preserve">Part II. Institutional History: From Bretton Woods to the PPP Edifice</w:t>
      </w:r>
    </w:p>
    <w:p>
      <w:pPr>
        <w:pStyle w:val="Heading2"/>
        <w:spacing w:after="140" w:before="280"/>
      </w:pPr>
      <w:r>
        <w:t xml:space="preserve">4. The ICP–PWT–Bank Pipeline</w:t>
      </w:r>
    </w:p>
    <w:p>
      <w:pPr>
        <w:spacing w:after="120"/>
      </w:pPr>
      <w:r>
        <w:rPr>
          <w:rFonts w:ascii="Arial" w:cs="Arial" w:eastAsia="Arial" w:hAnsi="Arial"/>
          <w:sz w:val="21"/>
          <w:szCs w:val="21"/>
        </w:rPr>
        <w:t xml:space="preserve">The International Comparison Program (1968) collected expenditure prices across countries. The Penn World Table (Summers–Heston, then Groningen from PWT 8.0) interpolated ICP benchmarks to annual series using national-accounts deflators. The Bank’s operational classification used GNI per capita at the Atlas exchange rate. The data pipeline was more circular than any party acknowledged: PWT’s investment series for developing countries ultimately derived from the same national accounts data that fed WDI, which John’s statistical shop managed. PWT’s claim to an independent data pipeline was overstated for the early decades.</w:t>
      </w:r>
    </w:p>
    <w:p>
      <w:pPr>
        <w:pStyle w:val="Heading2"/>
        <w:spacing w:after="140" w:before="280"/>
      </w:pPr>
      <w:r>
        <w:t xml:space="preserve">5. The IMF Mandate and the Convergence Expectation</w:t>
      </w:r>
    </w:p>
    <w:p>
      <w:pPr>
        <w:spacing w:after="120"/>
      </w:pPr>
      <w:r>
        <w:rPr>
          <w:rFonts w:ascii="Arial" w:cs="Arial" w:eastAsia="Arial" w:hAnsi="Arial"/>
          <w:sz w:val="21"/>
          <w:szCs w:val="21"/>
        </w:rPr>
        <w:t xml:space="preserve">The Bretton Woods architecture rested on a powerful premise: the IMF would guarantee relatively free capital flows and an orderly payments system, and economic convergence would follow—not just in output per capita, but in governance, institutions, and what OconEco calls Social Infrastructure. The IMF succeeded admirably at its core Articles mandate. But as the Bretton Woods pegs collapsed and then the CMEA dissolved, a stark reality emerged: capital was flowing, but structural SI convergence was painfully slow.</w:t>
      </w:r>
    </w:p>
    <w:p>
      <w:pPr>
        <w:spacing w:after="120"/>
      </w:pPr>
      <w:r>
        <w:rPr>
          <w:rFonts w:ascii="Arial" w:cs="Arial" w:eastAsia="Arial" w:hAnsi="Arial"/>
          <w:sz w:val="21"/>
          <w:szCs w:val="21"/>
        </w:rPr>
        <w:t xml:space="preserve">The adoption of PPP adjustments provided an immediate, arithmetical boost to the </w:t>
      </w:r>
      <w:r>
        <w:rPr>
          <w:rFonts w:ascii="Arial" w:cs="Arial" w:eastAsia="Arial" w:hAnsi="Arial"/>
          <w:i/>
          <w:iCs/>
          <w:sz w:val="21"/>
          <w:szCs w:val="21"/>
        </w:rPr>
        <w:t xml:space="preserve">appearance</w:t>
      </w:r>
      <w:r>
        <w:rPr>
          <w:rFonts w:ascii="Arial" w:cs="Arial" w:eastAsia="Arial" w:hAnsi="Arial"/>
          <w:sz w:val="21"/>
          <w:szCs w:val="21"/>
        </w:rPr>
        <w:t xml:space="preserve"> of convergence. By stripping away the asset-market signal and focusing solely on the E-spoke (consumption), the system could instantly re-rate a country. A nation that Atlas accurately measured at 5% of US per capita income—reflecting its true capital constraints—was declared to be “really” at 10% under PPP. A country at 10% jumped to 25%. This was not a reflection of a sudden leap in structural wealth. It was an arithmetical artefact that allowed resource allocators to report a “converging” world while continuing massive asymmetries in the Third Market remained unaddressed.</w:t>
      </w:r>
    </w:p>
    <w:p>
      <w:pPr>
        <w:pStyle w:val="Heading2"/>
        <w:spacing w:after="140" w:before="280"/>
      </w:pPr>
      <w:r>
        <w:t xml:space="preserve">6. Two Board Papers and the Retention of Atlas</w:t>
      </w:r>
    </w:p>
    <w:p>
      <w:pPr>
        <w:pStyle w:val="Heading3"/>
        <w:spacing w:after="140" w:before="280"/>
      </w:pPr>
      <w:r>
        <w:t xml:space="preserve">6.1 The 1989 Board Paper</w:t>
      </w:r>
    </w:p>
    <w:p>
      <w:pPr>
        <w:spacing w:after="120"/>
      </w:pPr>
      <w:r>
        <w:rPr>
          <w:rFonts w:ascii="Arial" w:cs="Arial" w:eastAsia="Arial" w:hAnsi="Arial"/>
          <w:sz w:val="21"/>
          <w:szCs w:val="21"/>
        </w:rPr>
        <w:t xml:space="preserve">The 1989 World Bank Board paper (O’Connor as principal author) established the graduation threshold at the approximate equivalent of US prosperity in 1950 (~$12,695 in later rebenchmarks). The paper documented the Balassa–Samuelson limitation of Atlas comparisons and retained Atlas anyway: the Bank’s lending decisions concern a country’s capacity to service dollar-denominated debt—a capital-account question for which exchange rates are the relevant metric. The retention was not a stopgap until PPP data improved; it was an operational imperative. Developing nations service sovereign debt, import capital goods, and engage in FDI in hard currency at prevailing exchange rates, not at PPP-adjusted rates.</w:t>
      </w:r>
    </w:p>
    <w:p>
      <w:pPr>
        <w:pStyle w:val="Heading3"/>
        <w:spacing w:after="140" w:before="280"/>
      </w:pPr>
      <w:r>
        <w:t xml:space="preserve">6.2 The 2000 Board Paper</w:t>
      </w:r>
    </w:p>
    <w:p>
      <w:pPr>
        <w:spacing w:after="120"/>
      </w:pPr>
      <w:r>
        <w:rPr>
          <w:rFonts w:ascii="Arial" w:cs="Arial" w:eastAsia="Arial" w:hAnsi="Arial"/>
          <w:sz w:val="21"/>
          <w:szCs w:val="21"/>
        </w:rPr>
        <w:t xml:space="preserve">The successor paper (SecM2000-0625) formalized the Atlas methodology, introduced the Synthetic Atlas Conversion Factor (SACF), and published the first Atlas-vs-PPP classification comparison. The Gerschenkron wedge ranged from 4.2x (Bangladesh) to 6.4x (Ethiopia). Twenty-three of 143 countries would have been reclassified under PPP. The Board retained Atlas, citing the capital-account argument, limited ICP coverage, and the instability of PPP rankings across benchmark rounds.</w:t>
      </w:r>
    </w:p>
    <w:p>
      <w:pPr>
        <w:pStyle w:val="Heading3"/>
        <w:spacing w:after="140" w:before="280"/>
      </w:pPr>
      <w:r>
        <w:t xml:space="preserve">6.3 PWT’s Historical Absurdities and “Consistent-ization”</w:t>
      </w:r>
    </w:p>
    <w:p>
      <w:pPr>
        <w:spacing w:after="120"/>
      </w:pPr>
      <w:r>
        <w:rPr>
          <w:rFonts w:ascii="Arial" w:cs="Arial" w:eastAsia="Arial" w:hAnsi="Arial"/>
          <w:sz w:val="21"/>
          <w:szCs w:val="21"/>
        </w:rPr>
        <w:t xml:space="preserve">PWT originally constructed historical series by applying WDI GDP growth rates to PPP benchmarks, producing nonsense—such as implying the UAE in 1960 had nearly three times the real per capita income of the United States, at a time when it got its first paved roads. When this was pointed out to Summers and Heston, they “consistent-ized” by apportioning growth rates between ICP benchmark exercises. This was an inadvertent acknowledgment: it implicitly conceded that relative price changes in the P and Y spokes had altered the price relatives in the E spoke. But instead of recognizing this as a fundamental structural shift (a country moving to a new PPF), PWT mathematically smoothed the variance to maintain the illusion of a continuous index. Despite increasingly complex chaining techniques, the instability persists—each ICP benchmark round re-ranks countries in unpredictable ways.</w:t>
      </w:r>
    </w:p>
    <w:p>
      <w:r>
        <w:br w:type="page"/>
      </w:r>
    </w:p>
    <w:p>
      <w:pPr>
        <w:pStyle w:val="Heading1"/>
        <w:spacing w:after="140" w:before="280"/>
      </w:pPr>
      <w:r>
        <w:t xml:space="preserve">Part III. The OPEC Oil Shock: Relative Prices and the Death of E-PPP Equilibrium</w:t>
      </w:r>
    </w:p>
    <w:p>
      <w:pPr>
        <w:pStyle w:val="Heading2"/>
        <w:spacing w:after="140" w:before="280"/>
      </w:pPr>
      <w:r>
        <w:t xml:space="preserve">7. The Largest Relative Price Shift of the Twentieth Century</w:t>
      </w:r>
    </w:p>
    <w:p>
      <w:pPr>
        <w:spacing w:after="120"/>
      </w:pPr>
      <w:r>
        <w:rPr>
          <w:rFonts w:ascii="Arial" w:cs="Arial" w:eastAsia="Arial" w:hAnsi="Arial"/>
          <w:sz w:val="21"/>
          <w:szCs w:val="21"/>
        </w:rPr>
        <w:t xml:space="preserve">For the quarter-century after Bretton Woods, world oil prices were set by the Seven Sisters—a cartel of high-income-country corporations operating within those countries’ Production Possibility Frontiers. Oil was priced at around $3 per barrel through the 1960s. When OPEC asserted pricing power in 1973–74 and quadrupled the price, the locus of price-setting for the world’s most traded commodity shifted from high-income to developing countries. This was not a monetary event or a speculative bubble; it was a massive, structural shift in real relative prices—the single largest exogenous revaluation of a tradeable commodity in the twentieth century.</w:t>
      </w:r>
    </w:p>
    <w:p>
      <w:pPr>
        <w:spacing w:after="120"/>
      </w:pPr>
      <w:r>
        <w:rPr>
          <w:rFonts w:ascii="Arial" w:cs="Arial" w:eastAsia="Arial" w:hAnsi="Arial"/>
          <w:sz w:val="21"/>
          <w:szCs w:val="21"/>
        </w:rPr>
        <w:t xml:space="preserve">The consequences were immediate and pervasive. Every Production Possibility Frontier in the world twisted: oil exporters saw their frontiers expand as subsoil asset values soared; oil importers saw theirs contract as input costs rose. The relative price of energy-intensive goods changed against the relative price of labour-intensive goods. Terms of trade shifted violently. No country’s internal price structure was left undisturbed.</w:t>
      </w:r>
    </w:p>
    <w:p>
      <w:pPr>
        <w:pStyle w:val="Heading2"/>
        <w:spacing w:after="140" w:before="280"/>
      </w:pPr>
      <w:r>
        <w:t xml:space="preserve">8. The Third Market as Shock Absorber</w:t>
      </w:r>
    </w:p>
    <w:p>
      <w:pPr>
        <w:spacing w:after="120"/>
      </w:pPr>
      <w:r>
        <w:rPr>
          <w:rFonts w:ascii="Arial" w:cs="Arial" w:eastAsia="Arial" w:hAnsi="Arial"/>
          <w:sz w:val="21"/>
          <w:szCs w:val="21"/>
        </w:rPr>
        <w:t xml:space="preserve">The official Bretton Woods institutions—designed to manage gradual current-account adjustments in the goods and money markets—were structurally incapable of handling a relative price shock of this magnitude. The hundreds of billions of “petrodollars” that accumulated in oil-exporting treasuries had to be recycled. The mechanism that absorbed the shock was the Third Market: the offshore Eurocurrency banking system, which took deposits from oil producers and lent them to oil importers. The asset market built its own plumbing because the official ledgers of the goods and money markets could not accommodate the new relative price reality.</w:t>
      </w:r>
    </w:p>
    <w:p>
      <w:pPr>
        <w:spacing w:after="120"/>
      </w:pPr>
      <w:r>
        <w:rPr>
          <w:rFonts w:ascii="Arial" w:cs="Arial" w:eastAsia="Arial" w:hAnsi="Arial"/>
          <w:sz w:val="21"/>
          <w:szCs w:val="21"/>
        </w:rPr>
        <w:t xml:space="preserve">The Eurocurrency market had been growing through the 1960s as a venue for arbitraging the gap between official exchange-rate pegs and the actual relative values being created by post-war reconstruction. The OPEC shock transformed it from an arbitrage venue into the dominant recycling mechanism of the global economy. The sheer volume of Third Market flows eventually overwhelmed the Bretton Woods pegs, confirming that the official system’s two-market framework was obsolete.</w:t>
      </w:r>
    </w:p>
    <w:p>
      <w:pPr>
        <w:pStyle w:val="Heading2"/>
        <w:spacing w:after="140" w:before="280"/>
      </w:pPr>
      <w:r>
        <w:t xml:space="preserve">9. Implications for E-PPP and the Convergence Assessment</w:t>
      </w:r>
    </w:p>
    <w:p>
      <w:pPr>
        <w:spacing w:after="120"/>
      </w:pPr>
      <w:r>
        <w:rPr>
          <w:rFonts w:ascii="Arial" w:cs="Arial" w:eastAsia="Arial" w:hAnsi="Arial"/>
          <w:sz w:val="21"/>
          <w:szCs w:val="21"/>
        </w:rPr>
        <w:t xml:space="preserve">The OPEC shock poses a fundamental problem for any PPP-based cross-country comparison spanning the discontinuity. ICP’s matched-model methodology prices a basket of consumer goods—the E-spoke—and stipulates that relative prices across countries reflect relative volumes. But when a massive exogenous shock has rewritten every country’s internal price structure, the notion that matched-model prices approximate any equilibrium is indefensible. The E-spoke prices collected in 1975 describe a different relative price regime from those collected in 1970, not because of measurement error or index-number technicalities, but because the underlying PPFs have been structurally altered.</w:t>
      </w:r>
    </w:p>
    <w:p>
      <w:pPr>
        <w:spacing w:after="120"/>
      </w:pPr>
      <w:r>
        <w:rPr>
          <w:rFonts w:ascii="Arial" w:cs="Arial" w:eastAsia="Arial" w:hAnsi="Arial"/>
          <w:sz w:val="21"/>
          <w:szCs w:val="21"/>
        </w:rPr>
        <w:t xml:space="preserve">For OconEco’s convergence assessment, the OPEC shock motivates the four-subperiod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Subperiod</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Structural Marker</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Relative Price Regime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1950–1975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Post-war reconstruction; BW pegs; Seven Sisters price oil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Relatively stable relative prices within fixed-rate regime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1975–1995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Post-OPEC floating rates; debt crisis; CMEA collapse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Massive relative price realignment; Third Market dominant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1995–2020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China/India integration; ICP benchmarks proliferate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Convergence narrative peaks; ERDI compression for largest units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2020–2025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COVID; supply chain restructuring; commodity price volatility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New relative price shocks; PPF uncertainty</w:t>
            </w:r>
          </w:p>
        </w:tc>
      </w:tr>
    </w:tbl>
    <w:p>
      <w:pPr>
        <w:spacing w:after="120"/>
      </w:pPr>
    </w:p>
    <w:p>
      <w:pPr>
        <w:spacing w:after="120"/>
      </w:pPr>
      <w:r>
        <w:rPr>
          <w:rFonts w:ascii="Arial" w:cs="Arial" w:eastAsia="Arial" w:hAnsi="Arial"/>
          <w:sz w:val="21"/>
          <w:szCs w:val="21"/>
        </w:rPr>
        <w:t xml:space="preserve">Any claim about global “convergence” must specify which subperiod and which relative price regime. A PPP$ series that chains across the 1973 discontinuity without structural acknowledgment is comparing prices from fundamentally different economic worlds.</w:t>
      </w:r>
    </w:p>
    <w:p>
      <w:pPr>
        <w:pStyle w:val="Heading2"/>
        <w:spacing w:after="140" w:before="280"/>
      </w:pPr>
      <w:r>
        <w:t xml:space="preserve">10. The Statistical Bretton Woods Analogy</w:t>
      </w:r>
    </w:p>
    <w:p>
      <w:pPr>
        <w:spacing w:after="120"/>
      </w:pPr>
      <w:r>
        <w:rPr>
          <w:rFonts w:ascii="Arial" w:cs="Arial" w:eastAsia="Arial" w:hAnsi="Arial"/>
          <w:sz w:val="21"/>
          <w:szCs w:val="21"/>
        </w:rPr>
        <w:t xml:space="preserve">The analogy between the Bretton Woods peg system and modern PPP methodology is precise. The Bretton Woods pegs attempted to hold nominal exchange rates fixed while massive shifts in real relative prices—culminating in the oil shock—made those pegs untenable. The official ledger refused to acknowledge the new reality until the system shattered. Modern PPP methodology replicates this error statistically: it attempts to hold relative prices constant across countries (via matched-model baskets and chained indices) while actual relative prices are being continuously rewritten by development, resource revaluation, and capital flows. The Atlas exchange rate, disciplined by the Third Market, adjusts to these realities. PPP smooths them away.</w:t>
      </w:r>
    </w:p>
    <w:p>
      <w:pPr>
        <w:spacing w:after="120"/>
      </w:pPr>
      <w:r>
        <w:rPr>
          <w:rFonts w:ascii="Arial" w:cs="Arial" w:eastAsia="Arial" w:hAnsi="Arial"/>
          <w:sz w:val="21"/>
          <w:szCs w:val="21"/>
        </w:rPr>
        <w:t xml:space="preserve">Whenever an official system—whether a currency peg or a statistical price index—attempts to suppress a massive shift in relative prices, it eventually fails because it blinds policymakers to the realities of the asset market. The Bretton Woods collapse proved this for exchange-rate regimes. OconEco’s Commonwealth architecture contends it is equally true for statistical regimes.</w:t>
      </w:r>
    </w:p>
    <w:p>
      <w:r>
        <w:br w:type="page"/>
      </w:r>
    </w:p>
    <w:p>
      <w:pPr>
        <w:pStyle w:val="Heading1"/>
        <w:spacing w:after="140" w:before="280"/>
      </w:pPr>
      <w:r>
        <w:t xml:space="preserve">Part IV. OconEco’s Conversion Architecture</w:t>
      </w:r>
    </w:p>
    <w:p>
      <w:pPr>
        <w:pStyle w:val="Heading2"/>
        <w:spacing w:after="140" w:before="280"/>
      </w:pPr>
      <w:r>
        <w:t xml:space="preserve">11. Primary Metric: Atlas Exchange Rate</w:t>
      </w:r>
    </w:p>
    <w:p>
      <w:pPr>
        <w:spacing w:after="120"/>
      </w:pPr>
      <w:r>
        <w:rPr>
          <w:rFonts w:ascii="Arial" w:cs="Arial" w:eastAsia="Arial" w:hAnsi="Arial"/>
          <w:sz w:val="21"/>
          <w:szCs w:val="21"/>
        </w:rPr>
        <w:t xml:space="preserve">All Commonwealth balance-sheet values are expressed in current USD using the Atlas conversion factor (PA.NUS.ATLS). The rationale:</w:t>
      </w:r>
    </w:p>
    <w:p>
      <w:pPr>
        <w:pStyle w:val="ListParagraph"/>
        <w:numPr>
          <w:ilvl w:val="0"/>
          <w:numId w:val="2"/>
        </w:numPr>
        <w:spacing w:after="80"/>
      </w:pPr>
      <w:r>
        <w:rPr>
          <w:rFonts w:ascii="Arial" w:cs="Arial" w:eastAsia="Arial" w:hAnsi="Arial"/>
          <w:b/>
          <w:bCs/>
          <w:sz w:val="21"/>
          <w:szCs w:val="21"/>
        </w:rPr>
        <w:t xml:space="preserve">Structural alignment. </w:t>
      </w:r>
      <w:r>
        <w:rPr>
          <w:rFonts w:ascii="Arial" w:cs="Arial" w:eastAsia="Arial" w:hAnsi="Arial"/>
          <w:sz w:val="21"/>
          <w:szCs w:val="21"/>
        </w:rPr>
        <w:t xml:space="preserve">Wealth is a stock of asset claims. Asset claims are traded at market exchange rates, not consumption PPPs. A factory in Chennai is collateral at its dollar value, not its PPP-adjusted value.</w:t>
      </w:r>
    </w:p>
    <w:p>
      <w:pPr>
        <w:pStyle w:val="ListParagraph"/>
        <w:numPr>
          <w:ilvl w:val="0"/>
          <w:numId w:val="2"/>
        </w:numPr>
        <w:spacing w:after="80"/>
      </w:pPr>
      <w:r>
        <w:rPr>
          <w:rFonts w:ascii="Arial" w:cs="Arial" w:eastAsia="Arial" w:hAnsi="Arial"/>
          <w:b/>
          <w:bCs/>
          <w:sz w:val="21"/>
          <w:szCs w:val="21"/>
        </w:rPr>
        <w:t xml:space="preserve">Consistency with GNI. </w:t>
      </w:r>
      <w:r>
        <w:rPr>
          <w:rFonts w:ascii="Arial" w:cs="Arial" w:eastAsia="Arial" w:hAnsi="Arial"/>
          <w:sz w:val="21"/>
          <w:szCs w:val="21"/>
        </w:rPr>
        <w:t xml:space="preserve">The Commonwealth annuity is anchored to GNI Atlas. Using the same conversion for PA, NC, and HR ensures the four factors sum to the annuity without a conversion wedge.</w:t>
      </w:r>
    </w:p>
    <w:p>
      <w:pPr>
        <w:pStyle w:val="ListParagraph"/>
        <w:numPr>
          <w:ilvl w:val="0"/>
          <w:numId w:val="2"/>
        </w:numPr>
        <w:spacing w:after="80"/>
      </w:pPr>
      <w:r>
        <w:rPr>
          <w:rFonts w:ascii="Arial" w:cs="Arial" w:eastAsia="Arial" w:hAnsi="Arial"/>
          <w:b/>
          <w:bCs/>
          <w:sz w:val="21"/>
          <w:szCs w:val="21"/>
        </w:rPr>
        <w:t xml:space="preserve">Operational relevance. </w:t>
      </w:r>
      <w:r>
        <w:rPr>
          <w:rFonts w:ascii="Arial" w:cs="Arial" w:eastAsia="Arial" w:hAnsi="Arial"/>
          <w:sz w:val="21"/>
          <w:szCs w:val="21"/>
        </w:rPr>
        <w:t xml:space="preserve">Bank lending thresholds, IDA allocation, and debt sustainability frameworks all use Atlas.</w:t>
      </w:r>
    </w:p>
    <w:p>
      <w:pPr>
        <w:pStyle w:val="ListParagraph"/>
        <w:numPr>
          <w:ilvl w:val="0"/>
          <w:numId w:val="2"/>
        </w:numPr>
        <w:spacing w:after="80"/>
      </w:pPr>
      <w:r>
        <w:rPr>
          <w:rFonts w:ascii="Arial" w:cs="Arial" w:eastAsia="Arial" w:hAnsi="Arial"/>
          <w:b/>
          <w:bCs/>
          <w:sz w:val="21"/>
          <w:szCs w:val="21"/>
        </w:rPr>
        <w:t xml:space="preserve">Reproducibility. </w:t>
      </w:r>
      <w:r>
        <w:rPr>
          <w:rFonts w:ascii="Arial" w:cs="Arial" w:eastAsia="Arial" w:hAnsi="Arial"/>
          <w:sz w:val="21"/>
          <w:szCs w:val="21"/>
        </w:rPr>
        <w:t xml:space="preserve">PA.NUS.ATLS is published annually in WDI for 200+ countries from 1960 onward. No benchmark-round dependency.</w:t>
      </w:r>
    </w:p>
    <w:p>
      <w:pPr>
        <w:pStyle w:val="Heading2"/>
        <w:spacing w:after="140" w:before="280"/>
      </w:pPr>
      <w:r>
        <w:t xml:space="preserve">12. Diagnostic Complement: ERDI and Price-Level Decomposition</w:t>
      </w:r>
    </w:p>
    <w:p>
      <w:pPr>
        <w:spacing w:after="120"/>
      </w:pPr>
      <w:r>
        <w:rPr>
          <w:rFonts w:ascii="Arial" w:cs="Arial" w:eastAsia="Arial" w:hAnsi="Arial"/>
          <w:sz w:val="21"/>
          <w:szCs w:val="21"/>
        </w:rPr>
        <w:t xml:space="preserve">OconEco retains PPP/ERDI as a diagnostic lens. The ERDI (Exchange Rate Deviation Index = PPP/Atlas = 1/price level) decomposes the SI residual into genuine institutional content and price-level noise. The Tinkering document (Section 10) shows the HR residual correlates with PWT’s price level at r = 0.506—stronger than with TFP. Approximately 30.6% of cross-country “TFP” variation is actually price-level variation: a Gerschenkron artefact. The changing ERDI over time is a feature of development—a signal of shifting PPFs—not a bug to be fixed by a more complex index formula.</w:t>
      </w:r>
    </w:p>
    <w:p>
      <w:pPr>
        <w:pStyle w:val="Heading2"/>
        <w:spacing w:after="140" w:before="280"/>
      </w:pPr>
      <w:r>
        <w:t xml:space="preserve">13. The PWT Back-Conversion Noise</w:t>
      </w:r>
    </w:p>
    <w:p>
      <w:pPr>
        <w:spacing w:after="120"/>
      </w:pPr>
      <w:r>
        <w:rPr>
          <w:rFonts w:ascii="Arial" w:cs="Arial" w:eastAsia="Arial" w:hAnsi="Arial"/>
          <w:sz w:val="21"/>
          <w:szCs w:val="21"/>
        </w:rPr>
        <w:t xml:space="preserve">When ingesting PWT rnna (Layer B in OG-003), back-converting PPP international dollars to Atlas USD introduces a double-conversion chain: PPP → national currency → Atlas. Modern PWT iterations employ chained Törnqvist or Fisher indices to smooth cross-country consumption comparisons, but these chained indices destroy the additivity and historical nominal scaling required for asset valuation. The noise term in back-conversion obscures the actual historical state of the asset market. The protocol prioritizes direct Atlas conversions for capital and wealth metrics, treating ERDI strictly as a secondary diagnostic.</w:t>
      </w:r>
    </w:p>
    <w:p>
      <w:pPr>
        <w:pStyle w:val="Heading2"/>
        <w:spacing w:after="140" w:before="280"/>
      </w:pPr>
      <w:r>
        <w:t xml:space="preserve">14. Shifting PPPs and Benchmark-Round Instability</w:t>
      </w:r>
    </w:p>
    <w:p>
      <w:pPr>
        <w:spacing w:after="120"/>
      </w:pPr>
      <w:r>
        <w:rPr>
          <w:rFonts w:ascii="Arial" w:cs="Arial" w:eastAsia="Arial" w:hAnsi="Arial"/>
          <w:sz w:val="21"/>
          <w:szCs w:val="21"/>
        </w:rPr>
        <w:t xml:space="preserve">Each ICP benchmark round (1975, 1980, 1985, 1993, 2005, 2011, 2017, 2021) produces new price relatives. Between benchmarks, PWT extrapolates using domestic deflators. When the next benchmark arrives, it revises the picture—sometimes drastically (China’s PPP-adjusted GDP fell 40% after the 2005 round). For OconEco:</w:t>
      </w:r>
    </w:p>
    <w:p>
      <w:pPr>
        <w:pStyle w:val="ListParagraph"/>
        <w:numPr>
          <w:ilvl w:val="0"/>
          <w:numId w:val="3"/>
        </w:numPr>
        <w:spacing w:after="80"/>
      </w:pPr>
      <w:r>
        <w:rPr>
          <w:rFonts w:ascii="Arial" w:cs="Arial" w:eastAsia="Arial" w:hAnsi="Arial"/>
          <w:b/>
          <w:bCs/>
          <w:sz w:val="21"/>
          <w:szCs w:val="21"/>
        </w:rPr>
        <w:t xml:space="preserve">Time-series discontinuity: </w:t>
      </w:r>
      <w:r>
        <w:rPr>
          <w:rFonts w:ascii="Arial" w:cs="Arial" w:eastAsia="Arial" w:hAnsi="Arial"/>
          <w:sz w:val="21"/>
          <w:szCs w:val="21"/>
        </w:rPr>
        <w:t xml:space="preserve">A PPP-converted series splicing across benchmarks is a statistical artefact, not a smooth economic trajectory.</w:t>
      </w:r>
    </w:p>
    <w:p>
      <w:pPr>
        <w:pStyle w:val="ListParagraph"/>
        <w:numPr>
          <w:ilvl w:val="0"/>
          <w:numId w:val="3"/>
        </w:numPr>
        <w:spacing w:after="80"/>
      </w:pPr>
      <w:r>
        <w:rPr>
          <w:rFonts w:ascii="Arial" w:cs="Arial" w:eastAsia="Arial" w:hAnsi="Arial"/>
          <w:b/>
          <w:bCs/>
          <w:sz w:val="21"/>
          <w:szCs w:val="21"/>
        </w:rPr>
        <w:t xml:space="preserve">Policy instability: </w:t>
      </w:r>
      <w:r>
        <w:rPr>
          <w:rFonts w:ascii="Arial" w:cs="Arial" w:eastAsia="Arial" w:hAnsi="Arial"/>
          <w:sz w:val="21"/>
          <w:szCs w:val="21"/>
        </w:rPr>
        <w:t xml:space="preserve">If IDA allocation used PPPs, eligibility could change because ICP resurveyed prices, not because the economy changed.</w:t>
      </w:r>
    </w:p>
    <w:p>
      <w:pPr>
        <w:pStyle w:val="ListParagraph"/>
        <w:numPr>
          <w:ilvl w:val="0"/>
          <w:numId w:val="3"/>
        </w:numPr>
        <w:spacing w:after="80"/>
      </w:pPr>
      <w:r>
        <w:rPr>
          <w:rFonts w:ascii="Arial" w:cs="Arial" w:eastAsia="Arial" w:hAnsi="Arial"/>
          <w:b/>
          <w:bCs/>
          <w:sz w:val="21"/>
          <w:szCs w:val="21"/>
        </w:rPr>
        <w:t xml:space="preserve">Comparability illusion: </w:t>
      </w:r>
      <w:r>
        <w:rPr>
          <w:rFonts w:ascii="Arial" w:cs="Arial" w:eastAsia="Arial" w:hAnsi="Arial"/>
          <w:sz w:val="21"/>
          <w:szCs w:val="21"/>
        </w:rPr>
        <w:t xml:space="preserve">PWT’s reported series looks continuous; the underlying PPPs contain a series of connected rug-pulls.</w:t>
      </w:r>
    </w:p>
    <w:p>
      <w:r>
        <w:br w:type="page"/>
      </w:r>
    </w:p>
    <w:p>
      <w:pPr>
        <w:pStyle w:val="Heading1"/>
        <w:spacing w:after="140" w:before="280"/>
      </w:pPr>
      <w:r>
        <w:t xml:space="preserve">Part V. The Hedonic Anachronism and the Sovereign Asset Group</w:t>
      </w:r>
    </w:p>
    <w:p>
      <w:pPr>
        <w:pStyle w:val="Heading2"/>
        <w:spacing w:after="140" w:before="280"/>
      </w:pPr>
      <w:r>
        <w:t xml:space="preserve">15. The Matched Model in a Hedonic Economy</w:t>
      </w:r>
    </w:p>
    <w:p>
      <w:pPr>
        <w:spacing w:after="120"/>
      </w:pPr>
      <w:r>
        <w:rPr>
          <w:rFonts w:ascii="Arial" w:cs="Arial" w:eastAsia="Arial" w:hAnsi="Arial"/>
          <w:sz w:val="21"/>
          <w:szCs w:val="21"/>
        </w:rPr>
        <w:t xml:space="preserve">ICP was intellectually forged in a mid-twentieth-century industrial era where it made sense to compare identical physical goods across borders: a ton of steel, a standard loaf of bread, a basic cotton shirt. This is the “matched model” approach.</w:t>
      </w:r>
    </w:p>
    <w:p>
      <w:pPr>
        <w:spacing w:after="120"/>
      </w:pPr>
      <w:r>
        <w:rPr>
          <w:rFonts w:ascii="Arial" w:cs="Arial" w:eastAsia="Arial" w:hAnsi="Arial"/>
          <w:sz w:val="21"/>
          <w:szCs w:val="21"/>
        </w:rPr>
        <w:t xml:space="preserve">The Bureau of Economic Analysis recognized over a decade ago that roughly a quarter of US GDP was already priced via hedonic quality adjustments—pricing the attributes of a good (processing speed, safety features, network connectivity) rather than the physical item itself. That share has inevitably grown since. As economies move beyond the US-1950 PPF, their consumption and production increasingly shift into hedonic, attribute-dense categories. Attempting to apply static matched-model pricing to the E-spoke in a services-driven global economy is worse than quaint; it forces modern, complex value generation into an obsolete statistical framework.</w:t>
      </w:r>
    </w:p>
    <w:p>
      <w:pPr>
        <w:pStyle w:val="Heading2"/>
        <w:spacing w:after="140" w:before="280"/>
      </w:pPr>
      <w:r>
        <w:t xml:space="preserve">16. FASB ASC 360 and the Sovereign Asset Group</w:t>
      </w:r>
    </w:p>
    <w:p>
      <w:pPr>
        <w:spacing w:after="120"/>
      </w:pPr>
      <w:r>
        <w:rPr>
          <w:rFonts w:ascii="Arial" w:cs="Arial" w:eastAsia="Arial" w:hAnsi="Arial"/>
          <w:sz w:val="21"/>
          <w:szCs w:val="21"/>
        </w:rPr>
        <w:t xml:space="preserve">The corporate accounting parallel is illuminating. Under FASB ASC 360 (Impairment or Disposal of Long-Lived Assets), corporations do not value long-lived assets atomistically. They evaluate assets as functional groups—at the lowest level for which identifiable cash flows are largely independent. If the group’s carrying amount is not recoverable, the group is impaired. The price of an individual component is accounting trivia compared to how the group functions as a wealth-generating unit.</w:t>
      </w:r>
    </w:p>
    <w:p>
      <w:pPr>
        <w:spacing w:after="120"/>
      </w:pPr>
      <w:r>
        <w:rPr>
          <w:rFonts w:ascii="Arial" w:cs="Arial" w:eastAsia="Arial" w:hAnsi="Arial"/>
          <w:sz w:val="21"/>
          <w:szCs w:val="21"/>
        </w:rPr>
        <w:t xml:space="preserve">A nation’s economy is the ultimate asset group. Its components—subsoil endowments, human time-assets, physical capital, and Social Infrastructure—generate value jointly and severally, not in isolation.</w:t>
      </w:r>
    </w:p>
    <w:p>
      <w:pPr>
        <w:pStyle w:val="ListParagraph"/>
        <w:numPr>
          <w:ilvl w:val="0"/>
          <w:numId w:val="2"/>
        </w:numPr>
        <w:spacing w:after="80"/>
      </w:pPr>
      <w:r>
        <w:rPr>
          <w:rFonts w:ascii="Arial" w:cs="Arial" w:eastAsia="Arial" w:hAnsi="Arial"/>
          <w:b/>
          <w:bCs/>
          <w:sz w:val="21"/>
          <w:szCs w:val="21"/>
        </w:rPr>
        <w:t xml:space="preserve">PPP prices individual components </w:t>
      </w:r>
      <w:r>
        <w:rPr>
          <w:rFonts w:ascii="Arial" w:cs="Arial" w:eastAsia="Arial" w:hAnsi="Arial"/>
          <w:sz w:val="21"/>
          <w:szCs w:val="21"/>
        </w:rPr>
        <w:t xml:space="preserve">using the matched model of the E-spoke—analogous to valuing a factory by looking up the catalog price of its individual bolts. It ignores whether the factory is a functioning going concern.</w:t>
      </w:r>
    </w:p>
    <w:p>
      <w:pPr>
        <w:pStyle w:val="ListParagraph"/>
        <w:numPr>
          <w:ilvl w:val="0"/>
          <w:numId w:val="2"/>
        </w:numPr>
        <w:spacing w:after="80"/>
      </w:pPr>
      <w:r>
        <w:rPr>
          <w:rFonts w:ascii="Arial" w:cs="Arial" w:eastAsia="Arial" w:hAnsi="Arial"/>
          <w:b/>
          <w:bCs/>
          <w:sz w:val="21"/>
          <w:szCs w:val="21"/>
        </w:rPr>
        <w:t xml:space="preserve">The exchange rate assesses the going concern. </w:t>
      </w:r>
      <w:r>
        <w:rPr>
          <w:rFonts w:ascii="Arial" w:cs="Arial" w:eastAsia="Arial" w:hAnsi="Arial"/>
          <w:sz w:val="21"/>
          <w:szCs w:val="21"/>
        </w:rPr>
        <w:t xml:space="preserve">The international asset market looks at the sovereign asset group. If a nation has poor Social Infrastructure, weak governance, or stranded subsoil assets, the market discounts the currency and restricts capital access, regardless of how cheap local consumer goods are.</w:t>
      </w:r>
    </w:p>
    <w:p>
      <w:pPr>
        <w:spacing w:after="120"/>
      </w:pPr>
      <w:r>
        <w:rPr>
          <w:rFonts w:ascii="Arial" w:cs="Arial" w:eastAsia="Arial" w:hAnsi="Arial"/>
          <w:sz w:val="21"/>
          <w:szCs w:val="21"/>
        </w:rPr>
        <w:t xml:space="preserve">By suppressing the asset-market signal, PPP effectively conceals macroeconomic impairment. It treats a nation with severely impaired Social Infrastructure as if its assets were functioning well, simply because a basket of consumables is inexpensive.</w:t>
      </w:r>
    </w:p>
    <w:p>
      <w:pPr>
        <w:pStyle w:val="Heading2"/>
        <w:spacing w:after="140" w:before="280"/>
      </w:pPr>
      <w:r>
        <w:t xml:space="preserve">17. The Sovereign Market-to-Book Gap</w:t>
      </w:r>
    </w:p>
    <w:p>
      <w:pPr>
        <w:spacing w:after="120"/>
      </w:pPr>
      <w:r>
        <w:rPr>
          <w:rFonts w:ascii="Arial" w:cs="Arial" w:eastAsia="Arial" w:hAnsi="Arial"/>
          <w:sz w:val="21"/>
          <w:szCs w:val="21"/>
        </w:rPr>
        <w:t xml:space="preserve">In the 1980s, corporate raiders arbitraged the massive gap between backward-looking book accounting and the actual market value of functioning asset groups. Some decompositions of going concerns produced positive-sum outcomes; more often they destroyed shareholder value. Corporate accounting was forced to modernize: capitalizing intangible assets, recognizing goodwill, shifting the boundary between consumption and investment (per Corrado and Hulten’s framework for “own-account intangibles”), and shrinking the gap from book to market. C-suites began systematic market-to-book assessment.</w:t>
      </w:r>
    </w:p>
    <w:p>
      <w:pPr>
        <w:spacing w:after="120"/>
      </w:pPr>
      <w:r>
        <w:rPr>
          <w:rFonts w:ascii="Arial" w:cs="Arial" w:eastAsia="Arial" w:hAnsi="Arial"/>
          <w:sz w:val="21"/>
          <w:szCs w:val="21"/>
        </w:rPr>
        <w:t xml:space="preserve">Sovereign accounting remains anchored in a century-old paradigm. By ignoring the Third Market—the pricing of sovereign assets, subsoil endowments, Social Infrastructure, and human time—the standard SNA leaves governments vulnerable to a macro-level arbitrage: privatization at fire-sale “book” prices because the true “market” value of the sovereign asset group is invisible in the public accounts. Topping such quaint bookkeeping with an economy-wide measure of productive assets makes it difficult to ignore the sovereign equivalent of market-to-book issues.</w:t>
      </w:r>
    </w:p>
    <w:p>
      <w:pPr>
        <w:spacing w:after="120"/>
      </w:pPr>
      <w:r>
        <w:rPr>
          <w:rFonts w:ascii="Arial" w:cs="Arial" w:eastAsia="Arial" w:hAnsi="Arial"/>
          <w:sz w:val="21"/>
          <w:szCs w:val="21"/>
        </w:rPr>
        <w:t xml:space="preserve">The information asymmetry is compounded by ICP’s practice of treating its detailed subnational price data as strictly confidential. The standard defence of market-based pricing is that businesses have near-real-time price discovery and markets are nearly complete. Yet the connection from those private prices to the prices governments use in setting monetary and fiscal policy, law, and regulation is completely missing. This is a textbook case of asymmetric information in what should be a trust-building recurrent process. For statistical architectures to serve their full function, they must move beyond satisfying the operational needs of international agencies and provide a transparent, localized ledger of exchanges that minimizes information asymmetry between the governed and those who govern.</w:t>
      </w:r>
    </w:p>
    <w:p>
      <w:r>
        <w:br w:type="page"/>
      </w:r>
    </w:p>
    <w:p>
      <w:pPr>
        <w:pStyle w:val="Heading1"/>
        <w:spacing w:after="140" w:before="280"/>
      </w:pPr>
      <w:r>
        <w:t xml:space="preserve">Part VI. Two Aggregation Pathologies: Gerschenkron and Simpson</w:t>
      </w:r>
    </w:p>
    <w:p>
      <w:pPr>
        <w:pStyle w:val="Heading2"/>
        <w:spacing w:after="140" w:before="280"/>
      </w:pPr>
      <w:r>
        <w:t xml:space="preserve">18. The Mechanical Distinction</w:t>
      </w:r>
    </w:p>
    <w:p>
      <w:pPr>
        <w:spacing w:after="120"/>
      </w:pPr>
      <w:r>
        <w:rPr>
          <w:rFonts w:ascii="Arial" w:cs="Arial" w:eastAsia="Arial" w:hAnsi="Arial"/>
          <w:sz w:val="21"/>
          <w:szCs w:val="21"/>
        </w:rPr>
        <w:t xml:space="preserve">Both Gerschenkron’s Effect and Simpson’s Paradox are pathologies of aggregation, but they attack the data structure from different angles:</w:t>
      </w:r>
    </w:p>
    <w:p>
      <w:pPr>
        <w:pStyle w:val="ListParagraph"/>
        <w:numPr>
          <w:ilvl w:val="0"/>
          <w:numId w:val="2"/>
        </w:numPr>
        <w:spacing w:after="80"/>
      </w:pPr>
      <w:r>
        <w:rPr>
          <w:rFonts w:ascii="Arial" w:cs="Arial" w:eastAsia="Arial" w:hAnsi="Arial"/>
          <w:b/>
          <w:bCs/>
          <w:sz w:val="21"/>
          <w:szCs w:val="21"/>
        </w:rPr>
        <w:t xml:space="preserve">The Gerschenkron Effect is a structural hazard. </w:t>
      </w:r>
      <w:r>
        <w:rPr>
          <w:rFonts w:ascii="Arial" w:cs="Arial" w:eastAsia="Arial" w:hAnsi="Arial"/>
          <w:sz w:val="21"/>
          <w:szCs w:val="21"/>
        </w:rPr>
        <w:t xml:space="preserve">It is driven by the negative covariance between relative prices and relative quantities as economies with different production structures are compared. The effect is both spatial (comparing countries at different PPF positions using a common price set) and temporal (comparing the same country at different development stages using a fixed-weight index). Using international reference prices inflates the volume of developing-country output because it overweights goods that are cheap in advanced economies but scarce locally. It misprices the structural transformation of a shifting PPF.</w:t>
      </w:r>
    </w:p>
    <w:p>
      <w:pPr>
        <w:pStyle w:val="ListParagraph"/>
        <w:numPr>
          <w:ilvl w:val="0"/>
          <w:numId w:val="2"/>
        </w:numPr>
        <w:spacing w:after="80"/>
      </w:pPr>
      <w:r>
        <w:rPr>
          <w:rFonts w:ascii="Arial" w:cs="Arial" w:eastAsia="Arial" w:hAnsi="Arial"/>
          <w:b/>
          <w:bCs/>
          <w:sz w:val="21"/>
          <w:szCs w:val="21"/>
        </w:rPr>
        <w:t xml:space="preserve">Simpson’s Paradox is a distributional hazard. </w:t>
      </w:r>
      <w:r>
        <w:rPr>
          <w:rFonts w:ascii="Arial" w:cs="Arial" w:eastAsia="Arial" w:hAnsi="Arial"/>
          <w:sz w:val="21"/>
          <w:szCs w:val="21"/>
        </w:rPr>
        <w:t xml:space="preserve">It is driven by disproportionate subgroup sizes and a hidden confounding variable across cross-sections. Combining a high-price urban hub with a low-price rural zone creates a national average that represents neither, mathematically mispricing every subnational unit.</w:t>
      </w:r>
    </w:p>
    <w:p>
      <w:pPr>
        <w:spacing w:after="120"/>
      </w:pPr>
      <w:r>
        <w:rPr>
          <w:rFonts w:ascii="Arial" w:cs="Arial" w:eastAsia="Arial" w:hAnsi="Arial"/>
          <w:sz w:val="21"/>
          <w:szCs w:val="21"/>
        </w:rPr>
        <w:t xml:space="preserve">Both disproportionately distort the data of developing or structurally distinct units by forcing them to be measured via the weights of the “center”—the advanced economy for Gerschenkron, the urban core for Simpson. Both obscure the actual PPF by smoothing over structural asymmetries that OconEco seeks to expose.</w:t>
      </w:r>
    </w:p>
    <w:p>
      <w:pPr>
        <w:pStyle w:val="Heading2"/>
        <w:spacing w:after="140" w:before="280"/>
      </w:pPr>
      <w:r>
        <w:t xml:space="preserve">19. The OconEco Resolution: Structural Granularity, Not More Complex Indices</w:t>
      </w:r>
    </w:p>
    <w:p>
      <w:pPr>
        <w:spacing w:after="120"/>
      </w:pPr>
      <w:r>
        <w:rPr>
          <w:rFonts w:ascii="Arial" w:cs="Arial" w:eastAsia="Arial" w:hAnsi="Arial"/>
          <w:sz w:val="21"/>
          <w:szCs w:val="21"/>
        </w:rPr>
        <w:t xml:space="preserve">OconEco does not solve the index-number problem by building a more complex chained formula. It solves it by increasing the structural granularity of the database:</w:t>
      </w:r>
    </w:p>
    <w:p>
      <w:pPr>
        <w:pStyle w:val="ListParagraph"/>
        <w:numPr>
          <w:ilvl w:val="0"/>
          <w:numId w:val="2"/>
        </w:numPr>
        <w:spacing w:after="80"/>
      </w:pPr>
      <w:r>
        <w:rPr>
          <w:rFonts w:ascii="Arial" w:cs="Arial" w:eastAsia="Arial" w:hAnsi="Arial"/>
          <w:b/>
          <w:bCs/>
          <w:sz w:val="21"/>
          <w:szCs w:val="21"/>
        </w:rPr>
        <w:t xml:space="preserve">To address the Gerschenkron Effect in the asset market: </w:t>
      </w:r>
      <w:r>
        <w:rPr>
          <w:rFonts w:ascii="Arial" w:cs="Arial" w:eastAsia="Arial" w:hAnsi="Arial"/>
          <w:sz w:val="21"/>
          <w:szCs w:val="21"/>
        </w:rPr>
        <w:t xml:space="preserve">retain Atlas GNI as the structural baseline, keeping the capital-account signal intact.</w:t>
      </w:r>
    </w:p>
    <w:p>
      <w:pPr>
        <w:pStyle w:val="ListParagraph"/>
        <w:numPr>
          <w:ilvl w:val="0"/>
          <w:numId w:val="2"/>
        </w:numPr>
        <w:spacing w:after="80"/>
      </w:pPr>
      <w:r>
        <w:rPr>
          <w:rFonts w:ascii="Arial" w:cs="Arial" w:eastAsia="Arial" w:hAnsi="Arial"/>
          <w:b/>
          <w:bCs/>
          <w:sz w:val="21"/>
          <w:szCs w:val="21"/>
        </w:rPr>
        <w:t xml:space="preserve">To address Simpson subnationally: </w:t>
      </w:r>
      <w:r>
        <w:rPr>
          <w:rFonts w:ascii="Arial" w:cs="Arial" w:eastAsia="Arial" w:hAnsi="Arial"/>
          <w:sz w:val="21"/>
          <w:szCs w:val="21"/>
        </w:rPr>
        <w:t xml:space="preserve">utilize the Where hierarchy (~7,400 units) with localized price-level proxies before any spatial aggregation occurs.</w:t>
      </w:r>
    </w:p>
    <w:p>
      <w:pPr>
        <w:pStyle w:val="Heading2"/>
        <w:spacing w:after="140" w:before="280"/>
      </w:pPr>
      <w:r>
        <w:t xml:space="preserve">20. The Subnational Price-Level Frontier</w:t>
      </w:r>
    </w:p>
    <w:p>
      <w:pPr>
        <w:spacing w:after="120"/>
      </w:pPr>
      <w:r>
        <w:rPr>
          <w:rFonts w:ascii="Arial" w:cs="Arial" w:eastAsia="Arial" w:hAnsi="Arial"/>
          <w:sz w:val="21"/>
          <w:szCs w:val="21"/>
        </w:rPr>
        <w:t xml:space="preserve">When OconEco drills from national to subnational, the conversion problem acquires a new dimension. Mumbai and rural Bihar share the same national exchange rate and PPP, but local price structures diverge profoundly via the Balassa–Samuelson mechanism operating within a country. Applying a national PPP uniformly to subnational data commits the Simpsonian fallacy: the aggregate relationship does not hold within the subgroups.</w:t>
      </w:r>
    </w:p>
    <w:p>
      <w:pPr>
        <w:spacing w:after="120"/>
      </w:pPr>
      <w:r>
        <w:rPr>
          <w:rFonts w:ascii="Arial" w:cs="Arial" w:eastAsia="Arial" w:hAnsi="Arial"/>
          <w:sz w:val="21"/>
          <w:szCs w:val="21"/>
        </w:rPr>
        <w:t xml:space="preserve">The Where hierarchy addresses this in three phases:</w:t>
      </w:r>
    </w:p>
    <w:p>
      <w:pPr>
        <w:pStyle w:val="ListParagraph"/>
        <w:numPr>
          <w:ilvl w:val="0"/>
          <w:numId w:val="3"/>
        </w:numPr>
        <w:spacing w:after="80"/>
      </w:pPr>
      <w:r>
        <w:rPr>
          <w:rFonts w:ascii="Arial" w:cs="Arial" w:eastAsia="Arial" w:hAnsi="Arial"/>
          <w:b/>
          <w:bCs/>
          <w:sz w:val="21"/>
          <w:szCs w:val="21"/>
        </w:rPr>
        <w:t xml:space="preserve">Thin description (current): </w:t>
      </w:r>
      <w:r>
        <w:rPr>
          <w:rFonts w:ascii="Arial" w:cs="Arial" w:eastAsia="Arial" w:hAnsi="Arial"/>
          <w:sz w:val="21"/>
          <w:szCs w:val="21"/>
        </w:rPr>
        <w:t xml:space="preserve">Report subnational values in Atlas-converted dollars, tag each unit with a qualitative indicator of likely price-level bias (urban/periurban/rural).</w:t>
      </w:r>
    </w:p>
    <w:p>
      <w:pPr>
        <w:pStyle w:val="ListParagraph"/>
        <w:numPr>
          <w:ilvl w:val="0"/>
          <w:numId w:val="3"/>
        </w:numPr>
        <w:spacing w:after="80"/>
      </w:pPr>
      <w:r>
        <w:rPr>
          <w:rFonts w:ascii="Arial" w:cs="Arial" w:eastAsia="Arial" w:hAnsi="Arial"/>
          <w:b/>
          <w:bCs/>
          <w:sz w:val="21"/>
          <w:szCs w:val="21"/>
        </w:rPr>
        <w:t xml:space="preserve">Medium term: </w:t>
      </w:r>
      <w:r>
        <w:rPr>
          <w:rFonts w:ascii="Arial" w:cs="Arial" w:eastAsia="Arial" w:hAnsi="Arial"/>
          <w:sz w:val="21"/>
          <w:szCs w:val="21"/>
        </w:rPr>
        <w:t xml:space="preserve">Use BEA Regional Price Parities (US), UBS city-level data, and analogous subnational price data to construct localized deflators for priority countries. Implement an FSH-anchored spatial gradient that scales UBS urban price anchors to rural units using population density, nighttime lights, or local wage indices as proxies—constrained such that the GDP-weighted sum reconciles to national Atlas GNI.</w:t>
      </w:r>
    </w:p>
    <w:p>
      <w:pPr>
        <w:pStyle w:val="ListParagraph"/>
        <w:numPr>
          <w:ilvl w:val="0"/>
          <w:numId w:val="3"/>
        </w:numPr>
        <w:spacing w:after="80"/>
      </w:pPr>
      <w:r>
        <w:rPr>
          <w:rFonts w:ascii="Arial" w:cs="Arial" w:eastAsia="Arial" w:hAnsi="Arial"/>
          <w:b/>
          <w:bCs/>
          <w:sz w:val="21"/>
          <w:szCs w:val="21"/>
        </w:rPr>
        <w:t xml:space="preserve">Thick description (long term): </w:t>
      </w:r>
      <w:r>
        <w:rPr>
          <w:rFonts w:ascii="Arial" w:cs="Arial" w:eastAsia="Arial" w:hAnsi="Arial"/>
          <w:sz w:val="21"/>
          <w:szCs w:val="21"/>
        </w:rPr>
        <w:t xml:space="preserve">Develop subnational PPPs or price-level indices tethered to ICP benchmarks and interpolated via local CPI series.</w:t>
      </w:r>
    </w:p>
    <w:p>
      <w:r>
        <w:br w:type="page"/>
      </w:r>
    </w:p>
    <w:p>
      <w:pPr>
        <w:pStyle w:val="Heading1"/>
        <w:spacing w:after="140" w:before="280"/>
      </w:pPr>
      <w:r>
        <w:t xml:space="preserve">Part VII. The 1950 Benchmark and the Third-Market Requirement</w:t>
      </w:r>
    </w:p>
    <w:p>
      <w:pPr>
        <w:pStyle w:val="Heading2"/>
        <w:spacing w:after="140" w:before="280"/>
      </w:pPr>
      <w:r>
        <w:t xml:space="preserve">21. Operational Thresholds as PPF Stage Markers</w:t>
      </w:r>
    </w:p>
    <w:p>
      <w:pPr>
        <w:spacing w:after="120"/>
      </w:pPr>
      <w:r>
        <w:rPr>
          <w:rFonts w:ascii="Arial" w:cs="Arial" w:eastAsia="Arial" w:hAnsi="Arial"/>
          <w:sz w:val="21"/>
          <w:szCs w:val="21"/>
        </w:rPr>
        <w:t xml:space="preserve">The Bank’s financial preference thresholds (IDA-only, Blend, IBRD, Graduated) serve as markers of a country’s progress toward successive Production Possibility Frontiers. A developing nation does not gain access to international capital at a reasonable rate—the core mandate of the Bank’s Articles of Agreement—simply because domestic E-spoke prices are low. It gains that access when its productive capacity and asset valuation reach a mature PPF, roughly equivalent to the US benchmark of 1950.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Atlas GNI pc (approx)</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PPF Stage / SI Type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Capital Access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IDA-only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&lt; ~$1,145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Type I: Structural Deficit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Grant/concessional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~$1,145–$1,500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Type I→II transition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Mixed; institution-building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IBRD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~$1,500–$7,500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Type II: Transition Drag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Near-market; friction remains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Graduated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&gt; ~$7,500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Type III: Self-sustaining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Market access; Bank selective</w:t>
            </w:r>
          </w:p>
        </w:tc>
      </w:tr>
    </w:tbl>
    <w:p>
      <w:pPr>
        <w:spacing w:after="100"/>
      </w:pPr>
    </w:p>
    <w:p>
      <w:pPr>
        <w:pStyle w:val="Heading2"/>
        <w:spacing w:after="140" w:before="280"/>
      </w:pPr>
      <w:r>
        <w:t xml:space="preserve">22. The 1950 Absolute Benchmark and the 2044 Projection</w:t>
      </w:r>
    </w:p>
    <w:p>
      <w:pPr>
        <w:spacing w:after="120"/>
      </w:pPr>
      <w:r>
        <w:rPr>
          <w:rFonts w:ascii="Arial" w:cs="Arial" w:eastAsia="Arial" w:hAnsi="Arial"/>
          <w:sz w:val="21"/>
          <w:szCs w:val="21"/>
        </w:rPr>
        <w:t xml:space="preserve">Despite PPP’s flaws as a relative policy metric, PWT’s PPP$ GNI per capita series remains useful for establishing a fixed, historical absolute benchmark. Using it, OconEco can demonstrate that roughly half the world’s population now lives in economies that have achieved or surpassed the absolute output of the 1950 United States. Projecting forward to 2044—the centenary of the World Bank—suggests a world where 80% of the global population might clear that 1950 hurdle. This is a monumental achievement of the global development enterprise.</w:t>
      </w:r>
    </w:p>
    <w:p>
      <w:pPr>
        <w:spacing w:after="120"/>
      </w:pPr>
      <w:r>
        <w:rPr>
          <w:rFonts w:ascii="Arial" w:cs="Arial" w:eastAsia="Arial" w:hAnsi="Arial"/>
          <w:sz w:val="21"/>
          <w:szCs w:val="21"/>
        </w:rPr>
        <w:t xml:space="preserve">But human expectations do not remain anchored in 1950. A truly useful relative benchmark for the twenty-first century cannot be built solely on the E-spoke. It requires recognition and valuation of the Third Market: assets. If a metric prices human time-endowments at zero, or ignores unsevered subsoil wealth and the Social Infrastructure that dictates a nation’s capacity to generate future wēle, it encodes a structural blindness. True convergence is not merely consuming goods at the same price; it is the equalization of capital costs, asset valuations, and the institutional trust required to sustain them.</w:t>
      </w:r>
    </w:p>
    <w:p>
      <w:r>
        <w:br w:type="page"/>
      </w:r>
    </w:p>
    <w:p>
      <w:pPr>
        <w:pStyle w:val="Heading1"/>
        <w:spacing w:after="140" w:before="280"/>
      </w:pPr>
      <w:r>
        <w:t xml:space="preserve">Part VIII. Conversion Protocols and Data Assets</w:t>
      </w:r>
    </w:p>
    <w:p>
      <w:pPr>
        <w:pStyle w:val="Heading2"/>
        <w:spacing w:after="140" w:before="280"/>
      </w:pPr>
      <w:r>
        <w:t xml:space="preserve">23. Protocol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Primary Conversion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Diagnostic</w:t>
            </w:r>
          </w:p>
        </w:tc>
        <w:tc>
          <w:tcPr>
            <w:tcW w:type="dxa" w:w="2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WDI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GNI (annuity)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Atlas (3-yr avg MER)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PPP for ERDI</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NY.GNP.ATLS.CD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 stocks (OECD, 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Atlas CF from nat’l curr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PPP CF for comparison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PA.NUS.ATLS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 stocks (PWT rnna)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Back-convert PPP→LCU→Atlas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Noise envelope flagged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PA.NUS.PPP + ATLS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HR (CWoN)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Already in current USD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pl_gdpo decomposition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NC (CWoN)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Already in current USD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GFCF flows (PIM)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Atlas CF from const LCU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NE.GDI.FTOT.KD + ATLS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Subnational GDP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National Atlas (uniform)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RPP / UBS where avail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National + subnational</w:t>
            </w:r>
          </w:p>
        </w:tc>
      </w:tr>
    </w:tbl>
    <w:p>
      <w:pPr>
        <w:spacing w:after="200"/>
      </w:pPr>
    </w:p>
    <w:p>
      <w:pPr>
        <w:pStyle w:val="Heading2"/>
        <w:spacing w:after="140" w:before="280"/>
      </w:pPr>
      <w:r>
        <w:t xml:space="preserve">24. Data Assets in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2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ConversionFactorsWB.xlsx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Atlas + PPP CFs by country-year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A_Background/Data_Extracts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P_Data_Extract_From_ICP_2021.xlsx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ICP 2021 benchmark PPPs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A_Background/Data_Extracts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UBS_PricesAndEarnings_OpenData.xlsx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City-level prices/wages (4 MB)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A_Background/Data_Extracts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GNIAtlas_WEO_OcoEco.xlsx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Merged GNI Atlas + IMF WEO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A_Background/Data_Extracts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PA_Master.xlsx (Atlas + PPP tabs)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PA.NUS.ATLS, PA.NUS.PPP series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BC_Hybrid/MEP_Redux</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Percapitaincome1989.pdf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1989 Board paper on thresholds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A_Background/Literature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SecM2000-0625 (Estimating HPE...)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2000 Board paper; ERDI, SACF</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A_Background/Literature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2025-SNA-Latest-developments-ICP.pdf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SNA/ICP developments Nov 2024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A_Background/Literature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Bank Per Capita Income ThreshodsOGHIST.xlsx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Threshold genealogy since 1973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A_Background/Data_Extracts</w:t>
            </w:r>
          </w:p>
        </w:tc>
      </w:tr>
    </w:tbl>
    <w:p>
      <w:pPr>
        <w:spacing w:after="200"/>
      </w:pPr>
    </w:p>
    <w:p>
      <w:r>
        <w:br w:type="page"/>
      </w:r>
    </w:p>
    <w:p>
      <w:pPr>
        <w:pStyle w:val="Heading1"/>
        <w:spacing w:after="140" w:before="280"/>
      </w:pPr>
      <w:r>
        <w:t xml:space="preserve">Part IX. Open Questions and Statements of Exception</w:t>
      </w:r>
    </w:p>
    <w:p>
      <w:pPr>
        <w:pStyle w:val="Heading2"/>
        <w:spacing w:after="140" w:before="280"/>
      </w:pPr>
      <w:r>
        <w:t xml:space="preserve">25. Open Questions</w:t>
      </w:r>
    </w:p>
    <w:p>
      <w:pPr>
        <w:pStyle w:val="ListParagraph"/>
        <w:numPr>
          <w:ilvl w:val="0"/>
          <w:numId w:val="3"/>
        </w:numPr>
        <w:spacing w:after="80"/>
      </w:pPr>
      <w:r>
        <w:rPr>
          <w:rFonts w:ascii="Arial" w:cs="Arial" w:eastAsia="Arial" w:hAnsi="Arial"/>
          <w:b/>
          <w:bCs/>
          <w:sz w:val="21"/>
          <w:szCs w:val="21"/>
        </w:rPr>
        <w:t xml:space="preserve">Hedonic GDP share. </w:t>
      </w:r>
      <w:r>
        <w:rPr>
          <w:rFonts w:ascii="Arial" w:cs="Arial" w:eastAsia="Arial" w:hAnsi="Arial"/>
          <w:sz w:val="21"/>
          <w:szCs w:val="21"/>
        </w:rPr>
        <w:t xml:space="preserve">What is the current share of US GDP priced hedonically? The BEA figure of ~25% is over a decade old. A current estimate would sharpen the anachronism argument.</w:t>
      </w:r>
    </w:p>
    <w:p>
      <w:pPr>
        <w:pStyle w:val="ListParagraph"/>
        <w:numPr>
          <w:ilvl w:val="0"/>
          <w:numId w:val="3"/>
        </w:numPr>
        <w:spacing w:after="80"/>
      </w:pPr>
      <w:r>
        <w:rPr>
          <w:rFonts w:ascii="Arial" w:cs="Arial" w:eastAsia="Arial" w:hAnsi="Arial"/>
          <w:b/>
          <w:bCs/>
          <w:sz w:val="21"/>
          <w:szCs w:val="21"/>
        </w:rPr>
        <w:t xml:space="preserve">ICP price confidentiality. </w:t>
      </w:r>
      <w:r>
        <w:rPr>
          <w:rFonts w:ascii="Arial" w:cs="Arial" w:eastAsia="Arial" w:hAnsi="Arial"/>
          <w:sz w:val="21"/>
          <w:szCs w:val="21"/>
        </w:rPr>
        <w:t xml:space="preserve">What is the formal basis for ICP’s treatment of detailed city-level price data as confidential? Is there a governance document that could be cited?</w:t>
      </w:r>
    </w:p>
    <w:p>
      <w:pPr>
        <w:pStyle w:val="ListParagraph"/>
        <w:numPr>
          <w:ilvl w:val="0"/>
          <w:numId w:val="3"/>
        </w:numPr>
        <w:spacing w:after="80"/>
      </w:pPr>
      <w:r>
        <w:rPr>
          <w:rFonts w:ascii="Arial" w:cs="Arial" w:eastAsia="Arial" w:hAnsi="Arial"/>
          <w:b/>
          <w:bCs/>
          <w:sz w:val="21"/>
          <w:szCs w:val="21"/>
        </w:rPr>
        <w:t xml:space="preserve">ICP 2021 ERDI landscape. </w:t>
      </w:r>
      <w:r>
        <w:rPr>
          <w:rFonts w:ascii="Arial" w:cs="Arial" w:eastAsia="Arial" w:hAnsi="Arial"/>
          <w:sz w:val="21"/>
          <w:szCs w:val="21"/>
        </w:rPr>
        <w:t xml:space="preserve">How significantly do 2021 PPPs shift the ERDI relative to 2017? Does this affect the SI residual decomposition?</w:t>
      </w:r>
    </w:p>
    <w:p>
      <w:pPr>
        <w:pStyle w:val="ListParagraph"/>
        <w:numPr>
          <w:ilvl w:val="0"/>
          <w:numId w:val="3"/>
        </w:numPr>
        <w:spacing w:after="80"/>
      </w:pPr>
      <w:r>
        <w:rPr>
          <w:rFonts w:ascii="Arial" w:cs="Arial" w:eastAsia="Arial" w:hAnsi="Arial"/>
          <w:b/>
          <w:bCs/>
          <w:sz w:val="21"/>
          <w:szCs w:val="21"/>
        </w:rPr>
        <w:t xml:space="preserve">PWT back-conversion noise envelope. </w:t>
      </w:r>
      <w:r>
        <w:rPr>
          <w:rFonts w:ascii="Arial" w:cs="Arial" w:eastAsia="Arial" w:hAnsi="Arial"/>
          <w:sz w:val="21"/>
          <w:szCs w:val="21"/>
        </w:rPr>
        <w:t xml:space="preserve">Has anyone published a systematic comparison of PWT capital stocks back-converted to Atlas USD against OECD balance-sheet data?</w:t>
      </w:r>
    </w:p>
    <w:p>
      <w:pPr>
        <w:pStyle w:val="ListParagraph"/>
        <w:numPr>
          <w:ilvl w:val="0"/>
          <w:numId w:val="3"/>
        </w:numPr>
        <w:spacing w:after="80"/>
      </w:pPr>
      <w:r>
        <w:rPr>
          <w:rFonts w:ascii="Arial" w:cs="Arial" w:eastAsia="Arial" w:hAnsi="Arial"/>
          <w:b/>
          <w:bCs/>
          <w:sz w:val="21"/>
          <w:szCs w:val="21"/>
        </w:rPr>
        <w:t xml:space="preserve">Subnational price data for priority countries. </w:t>
      </w:r>
      <w:r>
        <w:rPr>
          <w:rFonts w:ascii="Arial" w:cs="Arial" w:eastAsia="Arial" w:hAnsi="Arial"/>
          <w:sz w:val="21"/>
          <w:szCs w:val="21"/>
        </w:rPr>
        <w:t xml:space="preserve">Beyond BEA RPPs (US) and UBS (70 cities), what subnational price data exist for Russia, Indonesia, Brazil, Peru, South Africa, Tunisia?</w:t>
      </w:r>
    </w:p>
    <w:p>
      <w:pPr>
        <w:pStyle w:val="ListParagraph"/>
        <w:numPr>
          <w:ilvl w:val="0"/>
          <w:numId w:val="3"/>
        </w:numPr>
        <w:spacing w:after="80"/>
      </w:pPr>
      <w:r>
        <w:rPr>
          <w:rFonts w:ascii="Arial" w:cs="Arial" w:eastAsia="Arial" w:hAnsi="Arial"/>
          <w:b/>
          <w:bCs/>
          <w:sz w:val="21"/>
          <w:szCs w:val="21"/>
        </w:rPr>
        <w:t xml:space="preserve">ERDI temporal stability. </w:t>
      </w:r>
      <w:r>
        <w:rPr>
          <w:rFonts w:ascii="Arial" w:cs="Arial" w:eastAsia="Arial" w:hAnsi="Arial"/>
          <w:sz w:val="21"/>
          <w:szCs w:val="21"/>
        </w:rPr>
        <w:t xml:space="preserve">Does the ERDI trend toward 1.0 as income rises (convergence) or fluctuate around a structural level?</w:t>
      </w:r>
    </w:p>
    <w:p>
      <w:pPr>
        <w:pStyle w:val="ListParagraph"/>
        <w:numPr>
          <w:ilvl w:val="0"/>
          <w:numId w:val="3"/>
        </w:numPr>
        <w:spacing w:after="80"/>
      </w:pPr>
      <w:r>
        <w:rPr>
          <w:rFonts w:ascii="Arial" w:cs="Arial" w:eastAsia="Arial" w:hAnsi="Arial"/>
          <w:b/>
          <w:bCs/>
          <w:sz w:val="21"/>
          <w:szCs w:val="21"/>
        </w:rPr>
        <w:t xml:space="preserve">IDA/R73-7 threshold genealogy. </w:t>
      </w:r>
      <w:r>
        <w:rPr>
          <w:rFonts w:ascii="Arial" w:cs="Arial" w:eastAsia="Arial" w:hAnsi="Arial"/>
          <w:sz w:val="21"/>
          <w:szCs w:val="21"/>
        </w:rPr>
        <w:t xml:space="preserve">Has the $375 (1973) threshold genealogy ever been reconstructed in constant Atlas dollars? This would tether the four-tier scheme to the When dimension.</w:t>
      </w:r>
    </w:p>
    <w:p>
      <w:pPr>
        <w:pStyle w:val="ListParagraph"/>
        <w:numPr>
          <w:ilvl w:val="0"/>
          <w:numId w:val="3"/>
        </w:numPr>
        <w:spacing w:after="80"/>
      </w:pPr>
      <w:r>
        <w:rPr>
          <w:rFonts w:ascii="Arial" w:cs="Arial" w:eastAsia="Arial" w:hAnsi="Arial"/>
          <w:b/>
          <w:bCs/>
          <w:sz w:val="21"/>
          <w:szCs w:val="21"/>
        </w:rPr>
        <w:t xml:space="preserve">Consumer durables boundary. </w:t>
      </w:r>
      <w:r>
        <w:rPr>
          <w:rFonts w:ascii="Arial" w:cs="Arial" w:eastAsia="Arial" w:hAnsi="Arial"/>
          <w:sz w:val="21"/>
          <w:szCs w:val="21"/>
        </w:rPr>
        <w:t xml:space="preserve">ICP prices consumer goods. PWT prices investment goods. Consumer durables sit between the two. How does PWT handle this, and does it matter for rnna?</w:t>
      </w:r>
    </w:p>
    <w:p>
      <w:pPr>
        <w:pStyle w:val="ListParagraph"/>
        <w:numPr>
          <w:ilvl w:val="0"/>
          <w:numId w:val="3"/>
        </w:numPr>
        <w:spacing w:after="80"/>
      </w:pPr>
      <w:r>
        <w:rPr>
          <w:rFonts w:ascii="Arial" w:cs="Arial" w:eastAsia="Arial" w:hAnsi="Arial"/>
          <w:b/>
          <w:bCs/>
          <w:sz w:val="21"/>
          <w:szCs w:val="21"/>
        </w:rPr>
        <w:t xml:space="preserve">Corrado–Hulten intangibles in SNA. </w:t>
      </w:r>
      <w:r>
        <w:rPr>
          <w:rFonts w:ascii="Arial" w:cs="Arial" w:eastAsia="Arial" w:hAnsi="Arial"/>
          <w:sz w:val="21"/>
          <w:szCs w:val="21"/>
        </w:rPr>
        <w:t xml:space="preserve">Corporate accounting now capitalizes own-account intangibles. How does SNA treat these, and what is the implied gap between sovereign “book” and “market”?</w:t>
      </w:r>
    </w:p>
    <w:p>
      <w:pPr>
        <w:pStyle w:val="ListParagraph"/>
        <w:numPr>
          <w:ilvl w:val="0"/>
          <w:numId w:val="3"/>
        </w:numPr>
        <w:spacing w:after="80"/>
      </w:pPr>
      <w:r>
        <w:rPr>
          <w:rFonts w:ascii="Arial" w:cs="Arial" w:eastAsia="Arial" w:hAnsi="Arial"/>
          <w:b/>
          <w:bCs/>
          <w:sz w:val="21"/>
          <w:szCs w:val="21"/>
        </w:rPr>
        <w:t xml:space="preserve">OPEC shock and ICP timing. </w:t>
      </w:r>
      <w:r>
        <w:rPr>
          <w:rFonts w:ascii="Arial" w:cs="Arial" w:eastAsia="Arial" w:hAnsi="Arial"/>
          <w:sz w:val="21"/>
          <w:szCs w:val="21"/>
        </w:rPr>
        <w:t xml:space="preserve">The first substantive ICP benchmark (1975) was collected immediately after the oil shock. Has anyone assessed how the shock distorted the baseline price relatives that PWT then extrapolated forward?</w:t>
      </w:r>
    </w:p>
    <w:p>
      <w:pPr>
        <w:pStyle w:val="Heading2"/>
        <w:spacing w:after="140" w:before="280"/>
      </w:pPr>
      <w:r>
        <w:t xml:space="preserve">26. Statements of Exception</w:t>
      </w:r>
    </w:p>
    <w:p>
      <w:pPr>
        <w:pStyle w:val="ListParagraph"/>
        <w:numPr>
          <w:ilvl w:val="0"/>
          <w:numId w:val="2"/>
        </w:numPr>
        <w:spacing w:after="80"/>
      </w:pPr>
      <w:r>
        <w:rPr>
          <w:rFonts w:ascii="Arial" w:cs="Arial" w:eastAsia="Arial" w:hAnsi="Arial"/>
          <w:sz w:val="21"/>
          <w:szCs w:val="21"/>
        </w:rPr>
        <w:t xml:space="preserve">SE-PPP-001: Uniform national Atlas conversion applied subnationally. Accepted for thin description; subnational price variation acknowledged as unresolved frontier.</w:t>
      </w:r>
    </w:p>
    <w:p>
      <w:pPr>
        <w:pStyle w:val="ListParagraph"/>
        <w:numPr>
          <w:ilvl w:val="0"/>
          <w:numId w:val="2"/>
        </w:numPr>
        <w:spacing w:after="80"/>
      </w:pPr>
      <w:r>
        <w:rPr>
          <w:rFonts w:ascii="Arial" w:cs="Arial" w:eastAsia="Arial" w:hAnsi="Arial"/>
          <w:sz w:val="21"/>
          <w:szCs w:val="21"/>
        </w:rPr>
        <w:t xml:space="preserve">SE-PPP-002: PWT back-conversion introduces double-conversion noise (PPP→LCU→Atlas). Accepted; noise envelope to be quantified via Layer A cross-validation.</w:t>
      </w:r>
    </w:p>
    <w:p>
      <w:pPr>
        <w:pStyle w:val="ListParagraph"/>
        <w:numPr>
          <w:ilvl w:val="0"/>
          <w:numId w:val="2"/>
        </w:numPr>
        <w:spacing w:after="80"/>
      </w:pPr>
      <w:r>
        <w:rPr>
          <w:rFonts w:ascii="Arial" w:cs="Arial" w:eastAsia="Arial" w:hAnsi="Arial"/>
          <w:sz w:val="21"/>
          <w:szCs w:val="21"/>
        </w:rPr>
        <w:t xml:space="preserve">SE-PPP-003: ERDI decomposition of SI residual is exploratory. The 30.6% price-level share is a point estimate from one cross-section; temporal stability untested.</w:t>
      </w:r>
    </w:p>
    <w:p>
      <w:pPr>
        <w:pStyle w:val="ListParagraph"/>
        <w:numPr>
          <w:ilvl w:val="0"/>
          <w:numId w:val="2"/>
        </w:numPr>
        <w:spacing w:after="80"/>
      </w:pPr>
      <w:r>
        <w:rPr>
          <w:rFonts w:ascii="Arial" w:cs="Arial" w:eastAsia="Arial" w:hAnsi="Arial"/>
          <w:sz w:val="21"/>
          <w:szCs w:val="21"/>
        </w:rPr>
        <w:t xml:space="preserve">SE-PPP-004: Matched-model pricing of E-spoke in a hedonic economy. Accepted as structural limitation of all ICP-derived metrics.</w:t>
      </w:r>
    </w:p>
    <w:p>
      <w:pPr>
        <w:pStyle w:val="ListParagraph"/>
        <w:numPr>
          <w:ilvl w:val="0"/>
          <w:numId w:val="2"/>
        </w:numPr>
        <w:spacing w:after="80"/>
      </w:pPr>
      <w:r>
        <w:rPr>
          <w:rFonts w:ascii="Arial" w:cs="Arial" w:eastAsia="Arial" w:hAnsi="Arial"/>
          <w:sz w:val="21"/>
          <w:szCs w:val="21"/>
        </w:rPr>
        <w:t xml:space="preserve">SE-PPP-005: Sovereign market-to-book gap not quantified. Conceptual framework established; empirical estimation deferred to thick description.</w:t>
      </w:r>
    </w:p>
    <w:p>
      <w:pPr>
        <w:pStyle w:val="ListParagraph"/>
        <w:numPr>
          <w:ilvl w:val="0"/>
          <w:numId w:val="2"/>
        </w:numPr>
        <w:spacing w:after="80"/>
      </w:pPr>
      <w:r>
        <w:rPr>
          <w:rFonts w:ascii="Arial" w:cs="Arial" w:eastAsia="Arial" w:hAnsi="Arial"/>
          <w:sz w:val="21"/>
          <w:szCs w:val="21"/>
        </w:rPr>
        <w:t xml:space="preserve">SE-PPP-006: Convergence subperiods (1950–1975, 1975–1995, 1995–2020, 2020–2025) are defined by structural breaks, not statistical tests. Formal break-point analysis deferred to strawman dataset assembly.</w:t>
      </w:r>
    </w:p>
    <w:p>
      <w:pPr>
        <w:spacing w:after="200"/>
      </w:pPr>
    </w:p>
    <w:p>
      <w:pPr>
        <w:pBdr>
          <w:top w:val="single" w:color="2E5090" w:sz="4" w:space="8"/>
        </w:pBdr>
        <w:spacing w:after="120" w:before="400"/>
      </w:pPr>
      <w:r>
        <w:rPr>
          <w:rFonts w:ascii="Arial" w:cs="Arial" w:eastAsia="Arial" w:hAnsi="Arial"/>
          <w:i/>
          <w:iCs/>
          <w:color w:val="666666"/>
          <w:sz w:val="19"/>
          <w:szCs w:val="19"/>
        </w:rPr>
        <w:t xml:space="preserve">OG-004 v3.0 — 12 March 2026. Discovery stage. Corrects IMF/BW narrative; adds OPEC relative price discontinuity and convergence subperiod framework; refines Gerschenkron characterization as structural (not purely temporal). Enriched by parallel Gemini Ultra dialogues.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888888"/>
        <w:sz w:val="16"/>
        <w:szCs w:val="16"/>
      </w:rPr>
      <w:t xml:space="preserve">OconEco Operational Guideline OG-004 v3.0</w:t>
    </w:r>
    <w:r>
      <w:rPr>
        <w:rFonts w:ascii="Arial" w:cs="Arial" w:eastAsia="Arial" w:hAnsi="Arial"/>
        <w:color w:val="888888"/>
        <w:sz w:val="16"/>
        <w:szCs w:val="16"/>
      </w:rPr>
      <w:t xml:space="preserve">	PPPs, Conversion Protocols, and the Third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2026-03-13T02:46:28.788Z</dcterms:created>
  <dcterms:modified xsi:type="dcterms:W3CDTF">2026-03-13T02:46:28.788Z</dcterms:modified>
</cp:coreProperties>
</file>

<file path=docProps/custom.xml><?xml version="1.0" encoding="utf-8"?>
<Properties xmlns="http://schemas.openxmlformats.org/officeDocument/2006/custom-properties" xmlns:vt="http://schemas.openxmlformats.org/officeDocument/2006/docPropsVTypes"/>
</file>