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Arial" w:cs="Arial" w:eastAsia="Arial" w:hAnsi="Arial"/>
          <w:b/>
          <w:bCs/>
          <w:color w:val="1F3864"/>
          <w:sz w:val="36"/>
          <w:szCs w:val="36"/>
        </w:rPr>
        <w:t xml:space="preserve">OG-005</w:t>
      </w:r>
    </w:p>
    <w:p>
      <w:pPr>
        <w:spacing w:after="40" w:before="0" w:line="276"/>
        <w:jc w:val="center"/>
      </w:pPr>
      <w:r>
        <w:rPr>
          <w:rFonts w:ascii="Arial" w:cs="Arial" w:eastAsia="Arial" w:hAnsi="Arial"/>
          <w:b/>
          <w:bCs/>
          <w:color w:val="2E75B6"/>
          <w:sz w:val="28"/>
          <w:szCs w:val="28"/>
        </w:rPr>
        <w:t xml:space="preserve">Current-Price Primacy, Public-Facing Titration,</w:t>
      </w:r>
    </w:p>
    <w:p>
      <w:pPr>
        <w:spacing w:after="200" w:before="0" w:line="276"/>
        <w:jc w:val="center"/>
      </w:pPr>
      <w:r>
        <w:rPr>
          <w:rFonts w:ascii="Arial" w:cs="Arial" w:eastAsia="Arial" w:hAnsi="Arial"/>
          <w:b/>
          <w:bCs/>
          <w:color w:val="2E75B6"/>
          <w:sz w:val="28"/>
          <w:szCs w:val="28"/>
        </w:rPr>
        <w:t xml:space="preserve">and the Productive-Stock Interpretation of the Commonwealth Balance Sheet</w:t>
      </w:r>
    </w:p>
    <w:p>
      <w:pPr>
        <w:spacing w:after="40" w:before="0" w:line="276"/>
        <w:jc w:val="center"/>
      </w:pPr>
      <w:r>
        <w:rPr>
          <w:rFonts w:ascii="Arial" w:cs="Arial" w:eastAsia="Arial" w:hAnsi="Arial"/>
          <w:i/>
          <w:iCs/>
          <w:color w:val="808080"/>
          <w:sz w:val="20"/>
          <w:szCs w:val="20"/>
        </w:rPr>
        <w:t xml:space="preserve">Version 1.1 — 17 March 2026</w:t>
      </w:r>
    </w:p>
    <w:p>
      <w:pPr>
        <w:spacing w:after="300" w:before="0" w:line="276"/>
        <w:jc w:val="center"/>
      </w:pPr>
      <w:r>
        <w:rPr>
          <w:rFonts w:ascii="Arial" w:cs="Arial" w:eastAsia="Arial" w:hAnsi="Arial"/>
          <w:i/>
          <w:iCs/>
          <w:color w:val="808080"/>
          <w:sz w:val="20"/>
          <w:szCs w:val="20"/>
        </w:rPr>
        <w:t xml:space="preserve">Classification: C_Technical / Guidelines</w:t>
      </w:r>
    </w:p>
    <w:p>
      <w:pPr>
        <w:pStyle w:val="Heading1"/>
        <w:spacing w:after="160" w:before="0" w:line="276"/>
      </w:pPr>
      <w:r>
        <w:rPr>
          <w:rFonts w:ascii="Arial" w:cs="Arial" w:eastAsia="Arial" w:hAnsi="Arial"/>
          <w:sz w:val="22"/>
          <w:szCs w:val="22"/>
        </w:rPr>
        <w:t xml:space="preserve">1. Purpose and Scope</w:t>
      </w:r>
    </w:p>
    <w:p>
      <w:pPr>
        <w:spacing w:after="160" w:before="0" w:line="276"/>
      </w:pPr>
      <w:r>
        <w:rPr>
          <w:rFonts w:ascii="Arial" w:cs="Arial" w:eastAsia="Arial" w:hAnsi="Arial"/>
          <w:sz w:val="22"/>
          <w:szCs w:val="22"/>
        </w:rPr>
        <w:t xml:space="preserve">This Guideline establishes five principles that govern how Commonwealth (CW) results are produced, validated, and disseminated. It sits above the compilation mechanics of OG-002 and the currency-conversion protocols of OG-004. Those documents answer </w:t>
      </w:r>
      <w:r>
        <w:rPr>
          <w:rFonts w:ascii="Arial" w:cs="Arial" w:eastAsia="Arial" w:hAnsi="Arial"/>
          <w:i/>
          <w:iCs/>
          <w:sz w:val="22"/>
          <w:szCs w:val="22"/>
        </w:rPr>
        <w:t xml:space="preserve">how</w:t>
      </w:r>
      <w:r>
        <w:rPr>
          <w:rFonts w:ascii="Arial" w:cs="Arial" w:eastAsia="Arial" w:hAnsi="Arial"/>
          <w:sz w:val="22"/>
          <w:szCs w:val="22"/>
        </w:rPr>
        <w:t xml:space="preserve"> we compute; this one answers </w:t>
      </w:r>
      <w:r>
        <w:rPr>
          <w:rFonts w:ascii="Arial" w:cs="Arial" w:eastAsia="Arial" w:hAnsi="Arial"/>
          <w:i/>
          <w:iCs/>
          <w:sz w:val="22"/>
          <w:szCs w:val="22"/>
        </w:rPr>
        <w:t xml:space="preserve">why</w:t>
      </w:r>
      <w:r>
        <w:rPr>
          <w:rFonts w:ascii="Arial" w:cs="Arial" w:eastAsia="Arial" w:hAnsi="Arial"/>
          <w:sz w:val="22"/>
          <w:szCs w:val="22"/>
        </w:rPr>
        <w:t xml:space="preserve"> the computation takes the form it does and </w:t>
      </w:r>
      <w:r>
        <w:rPr>
          <w:rFonts w:ascii="Arial" w:cs="Arial" w:eastAsia="Arial" w:hAnsi="Arial"/>
          <w:i/>
          <w:iCs/>
          <w:sz w:val="22"/>
          <w:szCs w:val="22"/>
        </w:rPr>
        <w:t xml:space="preserve">what</w:t>
      </w:r>
      <w:r>
        <w:rPr>
          <w:rFonts w:ascii="Arial" w:cs="Arial" w:eastAsia="Arial" w:hAnsi="Arial"/>
          <w:sz w:val="22"/>
          <w:szCs w:val="22"/>
        </w:rPr>
        <w:t xml:space="preserve"> the public sees.</w:t>
      </w:r>
    </w:p>
    <w:p>
      <w:pPr>
        <w:spacing w:after="160" w:before="0" w:line="276"/>
      </w:pPr>
      <w:r>
        <w:rPr>
          <w:rFonts w:ascii="Arial" w:cs="Arial" w:eastAsia="Arial" w:hAnsi="Arial"/>
          <w:sz w:val="22"/>
          <w:szCs w:val="22"/>
        </w:rPr>
        <w:t xml:space="preserve">The five principles are: (a) current-price primacy—nominal values in Atlas-converted US dollars are the primary statement; (b) the productive-stock interpretation—the asset side of the MEP balance sheet measures the capacity to generate income, not a market-clearing price; (c) public-facing titration—the quinquennial US = 100 index is the publication form, with controlled reversibility via published US$ denominators; (d) the subnational imperative—a working prototype for international comparisons must be accompanied by a proof-of-concept demonstrating subnational applicability; and (e) the financial-intermediation accountability principle—Bretton Woods institutions bear a special obligation to ensure that the accounting frameworks they rely upon do not misrepresent the nature of financial intermediation itself.</w:t>
      </w:r>
    </w:p>
    <w:p>
      <w:pPr>
        <w:pStyle w:val="Heading1"/>
        <w:spacing w:after="160" w:before="0" w:line="276"/>
      </w:pPr>
      <w:r>
        <w:rPr>
          <w:rFonts w:ascii="Arial" w:cs="Arial" w:eastAsia="Arial" w:hAnsi="Arial"/>
          <w:sz w:val="22"/>
          <w:szCs w:val="22"/>
        </w:rPr>
        <w:t xml:space="preserve">2. Current-Price Primacy</w:t>
      </w:r>
    </w:p>
    <w:p>
      <w:pPr>
        <w:pStyle w:val="Heading2"/>
        <w:spacing w:after="160" w:before="0" w:line="276"/>
      </w:pPr>
      <w:r>
        <w:rPr>
          <w:rFonts w:ascii="Arial" w:cs="Arial" w:eastAsia="Arial" w:hAnsi="Arial"/>
          <w:sz w:val="22"/>
          <w:szCs w:val="22"/>
        </w:rPr>
        <w:t xml:space="preserve">2.1 The claim</w:t>
      </w:r>
    </w:p>
    <w:p>
      <w:pPr>
        <w:spacing w:after="160" w:before="0" w:line="276"/>
      </w:pPr>
      <w:r>
        <w:rPr>
          <w:rFonts w:ascii="Arial" w:cs="Arial" w:eastAsia="Arial" w:hAnsi="Arial"/>
          <w:sz w:val="22"/>
          <w:szCs w:val="22"/>
        </w:rPr>
        <w:t xml:space="preserve">No publicly traded firm reports “real” profits as its headline metric. Shareholders evaluate nominal returns against a nominal cost of capital. Bondholders receive nominal coupons. Lenders price nominal interest. The entire apparatus of financial intermediation—from a Jacksonville mortgage to a sovereign Eurobond—operates in nominal terms. Until the real economy routinely denominates contracts in constant-price units, it is a mistake for governments and international institutions to treat money as a veil one strips away to see what is “real.”</w:t>
      </w:r>
    </w:p>
    <w:p>
      <w:pPr>
        <w:spacing w:after="160" w:before="0" w:line="276"/>
      </w:pPr>
      <w:r>
        <w:rPr>
          <w:rFonts w:ascii="Arial" w:cs="Arial" w:eastAsia="Arial" w:hAnsi="Arial"/>
          <w:sz w:val="22"/>
          <w:szCs w:val="22"/>
        </w:rPr>
        <w:t xml:space="preserve">This is not an argument against constant-price analysis. It is an argument about primacy. A firm’s 10-K reports nominal revenue and earnings. The analyst who inflation-adjusts them for cross-period comparison is performing a useful diagnostic—but the diagnostic is the byproduct, not the primary statement. OconEco adopts the same ordering: the current-dollar Commonwealth balance sheet is the 10-K; any deflated or PPP-adjusted version is the analyst’s overlay.</w:t>
      </w:r>
    </w:p>
    <w:p>
      <w:pPr>
        <w:pStyle w:val="Heading2"/>
        <w:spacing w:after="160" w:before="0" w:line="276"/>
      </w:pPr>
      <w:r>
        <w:rPr>
          <w:rFonts w:ascii="Arial" w:cs="Arial" w:eastAsia="Arial" w:hAnsi="Arial"/>
          <w:sz w:val="22"/>
          <w:szCs w:val="22"/>
        </w:rPr>
        <w:t xml:space="preserve">2.2 Why CWoN inverted this</w:t>
      </w:r>
    </w:p>
    <w:p>
      <w:pPr>
        <w:spacing w:after="160" w:before="0" w:line="276"/>
      </w:pPr>
      <w:r>
        <w:rPr>
          <w:rFonts w:ascii="Arial" w:cs="Arial" w:eastAsia="Arial" w:hAnsi="Arial"/>
          <w:sz w:val="22"/>
          <w:szCs w:val="22"/>
        </w:rPr>
        <w:t xml:space="preserve">CWoN 2024 invested heavily in a Chained Törnqvist Volume Index (base 2019) to express “real comprehensive wealth.” The methodology PDF explains the rationale: wealth accounting should focus on sustainability of production (physical assets as inputs), not sustainability of consumption (fungible stores of value). This is intellectually coherent—but it made the deflated series the primary output and the current-dollar series ancillary.</w:t>
      </w:r>
    </w:p>
    <w:p>
      <w:pPr>
        <w:spacing w:after="160" w:before="0" w:line="276"/>
      </w:pPr>
      <w:r>
        <w:rPr>
          <w:rFonts w:ascii="Arial" w:cs="Arial" w:eastAsia="Arial" w:hAnsi="Arial"/>
          <w:sz w:val="22"/>
          <w:szCs w:val="22"/>
        </w:rPr>
        <w:t xml:space="preserve">Three consequences follow. First, the deflation exercise consumed significant methodological attention—asset-specific price indices, base-year selection, chain-linking mechanics—all of which are opaque to the policy audience. Second, it privileged a question (“how has the real productive capacity changed?”) over the question most relevant to the Bank’s constitutional mandate (“can this country service dollar-denominated obligations?”). Third, it made cross-country comparisons hostage to index-number pathologies—Gerschenkron effects, substitution bias, base-year sensitivity—that do not afflict a nominal series expressed in a common currency at market rates.</w:t>
      </w:r>
    </w:p>
    <w:p>
      <w:pPr>
        <w:pStyle w:val="Heading2"/>
        <w:spacing w:after="160" w:before="0" w:line="276"/>
      </w:pPr>
      <w:r>
        <w:rPr>
          <w:rFonts w:ascii="Arial" w:cs="Arial" w:eastAsia="Arial" w:hAnsi="Arial"/>
          <w:sz w:val="22"/>
          <w:szCs w:val="22"/>
        </w:rPr>
        <w:t xml:space="preserve">2.3 OconEco’s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Layer</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Denomination</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r>
      <w:tr>
        <w:tc>
          <w:tcPr>
            <w:tcW w:type="dxa" w:w="16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Primary</w:t>
            </w:r>
          </w:p>
        </w:tc>
        <w:tc>
          <w:tcPr>
            <w:tcW w:type="dxa" w:w="32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Current US$ (Atlas-converted)</w:t>
            </w:r>
          </w:p>
        </w:tc>
        <w:tc>
          <w:tcPr>
            <w:tcW w:type="dxa" w:w="456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The balance sheet. Policy signals. Debt-service comparability. Publication form (as US = 100 index).</w:t>
            </w:r>
          </w:p>
        </w:tc>
      </w:tr>
      <w:tr>
        <w:tc>
          <w:tcPr>
            <w:tcW w:type="dxa" w:w="16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Diagnostic 1</w:t>
            </w:r>
          </w:p>
        </w:tc>
        <w:tc>
          <w:tcPr>
            <w:tcW w:type="dxa" w:w="32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Constant US$ (GDP deflator or CPI)</w:t>
            </w:r>
          </w:p>
        </w:tc>
        <w:tc>
          <w:tcPr>
            <w:tcW w:type="dxa" w:w="456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Cross-period comparison for a single country. The “analyst’s overlay.”</w:t>
            </w:r>
          </w:p>
        </w:tc>
      </w:tr>
      <w:tr>
        <w:tc>
          <w:tcPr>
            <w:tcW w:type="dxa" w:w="16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Diagnostic 2</w:t>
            </w:r>
          </w:p>
        </w:tc>
        <w:tc>
          <w:tcPr>
            <w:tcW w:type="dxa" w:w="32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PPP-adjusted (ICP-based)</w:t>
            </w:r>
          </w:p>
        </w:tc>
        <w:tc>
          <w:tcPr>
            <w:tcW w:type="dxa" w:w="456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Cross-country comparison of consumption levels. Not used for assets. See OG-004.</w:t>
            </w:r>
          </w:p>
        </w:tc>
      </w:tr>
      <w:tr>
        <w:tc>
          <w:tcPr>
            <w:tcW w:type="dxa" w:w="16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Diagnostic 3</w:t>
            </w:r>
          </w:p>
        </w:tc>
        <w:tc>
          <w:tcPr>
            <w:tcW w:type="dxa" w:w="32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Törnqvist volume index</w:t>
            </w:r>
          </w:p>
        </w:tc>
        <w:tc>
          <w:tcPr>
            <w:tcW w:type="dxa" w:w="456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Academic comparability with CWoN. Available on request. Not published.</w:t>
            </w:r>
          </w:p>
        </w:tc>
      </w:tr>
    </w:tbl>
    <w:p>
      <w:pPr>
        <w:spacing w:after="12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This ordering is not anti-intellectual. It reflects the operating reality of the Bank as financial intermediary and of the borrowing countries it serves. A Finance Minister in Dhaka does not wake up worrying about chain-linked 2019 dollars. She worries about the dollar cost of her next Eurobond coupon relative to the dollar revenue her economy generates. Our balance sheet speaks her language.</w:t>
      </w:r>
    </w:p>
    <w:p>
      <w:pPr>
        <w:pStyle w:val="Heading1"/>
        <w:spacing w:after="160" w:before="0" w:line="276"/>
      </w:pPr>
      <w:r>
        <w:rPr>
          <w:rFonts w:ascii="Arial" w:cs="Arial" w:eastAsia="Arial" w:hAnsi="Arial"/>
          <w:sz w:val="22"/>
          <w:szCs w:val="22"/>
        </w:rPr>
        <w:t xml:space="preserve">3. The Productive-Stock Interpretation</w:t>
      </w:r>
    </w:p>
    <w:p>
      <w:pPr>
        <w:pStyle w:val="Heading2"/>
        <w:spacing w:after="160" w:before="0" w:line="276"/>
      </w:pPr>
      <w:r>
        <w:rPr>
          <w:rFonts w:ascii="Arial" w:cs="Arial" w:eastAsia="Arial" w:hAnsi="Arial"/>
          <w:sz w:val="22"/>
          <w:szCs w:val="22"/>
        </w:rPr>
        <w:t xml:space="preserve">3.1 BLS versus BEA: the distinction that matters</w:t>
      </w:r>
    </w:p>
    <w:p>
      <w:pPr>
        <w:spacing w:after="160" w:before="0" w:line="276"/>
      </w:pPr>
      <w:r>
        <w:rPr>
          <w:rFonts w:ascii="Arial" w:cs="Arial" w:eastAsia="Arial" w:hAnsi="Arial"/>
          <w:sz w:val="22"/>
          <w:szCs w:val="22"/>
        </w:rPr>
        <w:t xml:space="preserve">The U.S. Bureau of Labor Statistics (BLS) measures a </w:t>
      </w:r>
      <w:r>
        <w:rPr>
          <w:rFonts w:ascii="Arial" w:cs="Arial" w:eastAsia="Arial" w:hAnsi="Arial"/>
          <w:b/>
          <w:bCs/>
          <w:sz w:val="22"/>
          <w:szCs w:val="22"/>
        </w:rPr>
        <w:t xml:space="preserve">productive stock</w:t>
      </w:r>
      <w:r>
        <w:rPr>
          <w:rFonts w:ascii="Arial" w:cs="Arial" w:eastAsia="Arial" w:hAnsi="Arial"/>
          <w:sz w:val="22"/>
          <w:szCs w:val="22"/>
        </w:rPr>
        <w:t xml:space="preserve">—the aggregate capacity of installed capital to deliver productive services at current efficiency. It uses age-efficiency functions: an asset loses value as it produces less output, not as its resale price falls. BEA’s Fixed Assets Accounts and the SNA’s non-financial balance sheet measure a </w:t>
      </w:r>
      <w:r>
        <w:rPr>
          <w:rFonts w:ascii="Arial" w:cs="Arial" w:eastAsia="Arial" w:hAnsi="Arial"/>
          <w:b/>
          <w:bCs/>
          <w:sz w:val="22"/>
          <w:szCs w:val="22"/>
        </w:rPr>
        <w:t xml:space="preserve">wealth stock</w:t>
      </w:r>
      <w:r>
        <w:rPr>
          <w:rFonts w:ascii="Arial" w:cs="Arial" w:eastAsia="Arial" w:hAnsi="Arial"/>
          <w:sz w:val="22"/>
          <w:szCs w:val="22"/>
        </w:rPr>
        <w:t xml:space="preserve">—what the asset would fetch on the market if sold. BEA uses age-price functions that track resale values.</w:t>
      </w:r>
    </w:p>
    <w:p>
      <w:pPr>
        <w:spacing w:after="160" w:before="0" w:line="276"/>
      </w:pPr>
      <w:r>
        <w:rPr>
          <w:rFonts w:ascii="Arial" w:cs="Arial" w:eastAsia="Arial" w:hAnsi="Arial"/>
          <w:sz w:val="22"/>
          <w:szCs w:val="22"/>
        </w:rPr>
        <w:t xml:space="preserve">The gap between them is not an error; it is a conceptual choice. A ten-year-old CNC machine may have a low resale value (BEA) but still produce at near-original capacity (BLS). Conversely, a speculative land holding may have a high market price (BEA) but generate negligible productive services (BLS).</w:t>
      </w:r>
    </w:p>
    <w:p>
      <w:pPr>
        <w:spacing w:after="160" w:before="0" w:line="276"/>
      </w:pPr>
      <w:r>
        <w:rPr>
          <w:rFonts w:ascii="Arial" w:cs="Arial" w:eastAsia="Arial" w:hAnsi="Arial"/>
          <w:sz w:val="22"/>
          <w:szCs w:val="22"/>
        </w:rPr>
        <w:t xml:space="preserve">The MEP balance sheet (1995, page 68) was designed with the BLS interpretation in mind. Its asset side answers: </w:t>
      </w:r>
      <w:r>
        <w:rPr>
          <w:rFonts w:ascii="Arial" w:cs="Arial" w:eastAsia="Arial" w:hAnsi="Arial"/>
          <w:i/>
          <w:iCs/>
          <w:sz w:val="22"/>
          <w:szCs w:val="22"/>
        </w:rPr>
        <w:t xml:space="preserve">what can this society produce?</w:t>
      </w:r>
      <w:r>
        <w:rPr>
          <w:rFonts w:ascii="Arial" w:cs="Arial" w:eastAsia="Arial" w:hAnsi="Arial"/>
          <w:sz w:val="22"/>
          <w:szCs w:val="22"/>
        </w:rPr>
        <w:t xml:space="preserve"> The liability side and the resulting Net Worth answer: </w:t>
      </w:r>
      <w:r>
        <w:rPr>
          <w:rFonts w:ascii="Arial" w:cs="Arial" w:eastAsia="Arial" w:hAnsi="Arial"/>
          <w:i/>
          <w:iCs/>
          <w:sz w:val="22"/>
          <w:szCs w:val="22"/>
        </w:rPr>
        <w:t xml:space="preserve">what is this society worth after obligations?</w:t>
      </w:r>
      <w:r>
        <w:rPr>
          <w:rFonts w:ascii="Arial" w:cs="Arial" w:eastAsia="Arial" w:hAnsi="Arial"/>
          <w:sz w:val="22"/>
          <w:szCs w:val="22"/>
        </w:rPr>
        <w:t xml:space="preserve"> CWoN, by contrast, moved toward the BEA/SNA interpretation—market-value wealth stocks, with rent-capitalization giving a present-value equivalent of future market returns. This is a legitimate accounting framework, but it is not the one the MEP intended.</w:t>
      </w:r>
    </w:p>
    <w:p>
      <w:pPr>
        <w:pStyle w:val="Heading2"/>
        <w:spacing w:after="160" w:before="0" w:line="276"/>
      </w:pPr>
      <w:r>
        <w:rPr>
          <w:rFonts w:ascii="Arial" w:cs="Arial" w:eastAsia="Arial" w:hAnsi="Arial"/>
          <w:sz w:val="22"/>
          <w:szCs w:val="22"/>
        </w:rPr>
        <w:t xml:space="preserve">3.2 Why the productive-stock interpretation serves the Bank better</w:t>
      </w:r>
    </w:p>
    <w:p>
      <w:pPr>
        <w:spacing w:after="160" w:before="0" w:line="276"/>
      </w:pPr>
      <w:r>
        <w:rPr>
          <w:rFonts w:ascii="Arial" w:cs="Arial" w:eastAsia="Arial" w:hAnsi="Arial"/>
          <w:sz w:val="22"/>
          <w:szCs w:val="22"/>
        </w:rPr>
        <w:t xml:space="preserve">The Bank’s Articles of Agreement (III.4.ii) authorize lending when a borrower cannot otherwise obtain loans at reasonable cost. The operative question is not “what is this country’s net worth at liquidation?” (the BEA question) but “can this country’s productive base generate the income needed to service debt?” (the BLS question). The income-capitalization method behind CW = GNI × K/O answers exactly this: total wealth is the present value of the income stream the productive base can sustain.</w:t>
      </w:r>
    </w:p>
    <w:p>
      <w:pPr>
        <w:spacing w:after="160" w:before="0" w:line="276"/>
      </w:pPr>
      <w:r>
        <w:rPr>
          <w:rFonts w:ascii="Arial" w:cs="Arial" w:eastAsia="Arial" w:hAnsi="Arial"/>
          <w:sz w:val="22"/>
          <w:szCs w:val="22"/>
        </w:rPr>
        <w:t xml:space="preserve">SI (Social Infrastructure) is the residual that emerges when independently estimated productive assets—HR, PA, NC—fall short of explaining the total income-generation capacity. It is the stock counterpart of Total Factor Productivity: the institutional, governance, and social capital that makes the physical and human factors more (or less) productive than their standalone estimates predict. This is precisely what the Bank intermediates when it lends to countries whose collateral (PA + NC) would not satisfy a private lender.</w:t>
      </w:r>
    </w:p>
    <w:p>
      <w:pPr>
        <w:pStyle w:val="Heading2"/>
        <w:spacing w:after="160" w:before="0" w:line="276"/>
      </w:pPr>
      <w:r>
        <w:rPr>
          <w:rFonts w:ascii="Arial" w:cs="Arial" w:eastAsia="Arial" w:hAnsi="Arial"/>
          <w:sz w:val="22"/>
          <w:szCs w:val="22"/>
        </w:rPr>
        <w:t xml:space="preserve">3.3 Implications for “real” analysis</w:t>
      </w:r>
    </w:p>
    <w:p>
      <w:pPr>
        <w:spacing w:after="160" w:before="0" w:line="276"/>
      </w:pPr>
      <w:r>
        <w:rPr>
          <w:rFonts w:ascii="Arial" w:cs="Arial" w:eastAsia="Arial" w:hAnsi="Arial"/>
          <w:sz w:val="22"/>
          <w:szCs w:val="22"/>
        </w:rPr>
        <w:t xml:space="preserve">In BLS terms, the productive stock is already measured in efficiency units—it tracks what the assets </w:t>
      </w:r>
      <w:r>
        <w:rPr>
          <w:rFonts w:ascii="Arial" w:cs="Arial" w:eastAsia="Arial" w:hAnsi="Arial"/>
          <w:i/>
          <w:iCs/>
          <w:sz w:val="22"/>
          <w:szCs w:val="22"/>
        </w:rPr>
        <w:t xml:space="preserve">do</w:t>
      </w:r>
      <w:r>
        <w:rPr>
          <w:rFonts w:ascii="Arial" w:cs="Arial" w:eastAsia="Arial" w:hAnsi="Arial"/>
          <w:sz w:val="22"/>
          <w:szCs w:val="22"/>
        </w:rPr>
        <w:t xml:space="preserve">, not what they </w:t>
      </w:r>
      <w:r>
        <w:rPr>
          <w:rFonts w:ascii="Arial" w:cs="Arial" w:eastAsia="Arial" w:hAnsi="Arial"/>
          <w:i/>
          <w:iCs/>
          <w:sz w:val="22"/>
          <w:szCs w:val="22"/>
        </w:rPr>
        <w:t xml:space="preserve">cost</w:t>
      </w:r>
      <w:r>
        <w:rPr>
          <w:rFonts w:ascii="Arial" w:cs="Arial" w:eastAsia="Arial" w:hAnsi="Arial"/>
          <w:sz w:val="22"/>
          <w:szCs w:val="22"/>
        </w:rPr>
        <w:t xml:space="preserve">. Deflating a productive-stock measure by a general price index is conceptually confused: it adjusts a physical-capacity measure for changes in consumption prices, mixing the production and expenditure sides of the national accounts. The appropriate real analysis of the productive stock is input-specific: physical units of capital (BLS’s own approach), years of schooling (HR), hectares or tonnes in situ (NC). These are already embedded in our FAND workbooks as the Q and R columns.</w:t>
      </w:r>
    </w:p>
    <w:p>
      <w:pPr>
        <w:spacing w:after="160" w:before="0" w:line="276"/>
      </w:pPr>
      <w:r>
        <w:rPr>
          <w:rFonts w:ascii="Arial" w:cs="Arial" w:eastAsia="Arial" w:hAnsi="Arial"/>
          <w:sz w:val="22"/>
          <w:szCs w:val="22"/>
        </w:rPr>
        <w:t xml:space="preserve">The current-dollar aggregate is not “nominal” in the pejorative sense. It is the monetary expression of productive capacity at the prices prevailing when decisions are made and debts are contracted. Deflation is useful for decomposing changes (how much was volume, how much was price?), but that decomposition is a diagnostic, not the measure itself.</w:t>
      </w:r>
    </w:p>
    <w:p>
      <w:pPr>
        <w:pStyle w:val="Heading1"/>
        <w:spacing w:after="160" w:before="0" w:line="276"/>
      </w:pPr>
      <w:r>
        <w:rPr>
          <w:rFonts w:ascii="Arial" w:cs="Arial" w:eastAsia="Arial" w:hAnsi="Arial"/>
          <w:sz w:val="22"/>
          <w:szCs w:val="22"/>
        </w:rPr>
        <w:t xml:space="preserve">4. Public-Facing Titration</w:t>
      </w:r>
    </w:p>
    <w:p>
      <w:pPr>
        <w:pStyle w:val="Heading2"/>
        <w:spacing w:after="160" w:before="0" w:line="276"/>
      </w:pPr>
      <w:r>
        <w:rPr>
          <w:rFonts w:ascii="Arial" w:cs="Arial" w:eastAsia="Arial" w:hAnsi="Arial"/>
          <w:sz w:val="22"/>
          <w:szCs w:val="22"/>
        </w:rPr>
        <w:t xml:space="preserve">4.1 The TMI problem</w:t>
      </w:r>
    </w:p>
    <w:p>
      <w:pPr>
        <w:spacing w:after="160" w:before="0" w:line="276"/>
      </w:pPr>
      <w:r>
        <w:rPr>
          <w:rFonts w:ascii="Arial" w:cs="Arial" w:eastAsia="Arial" w:hAnsi="Arial"/>
          <w:sz w:val="22"/>
          <w:szCs w:val="22"/>
        </w:rPr>
        <w:t xml:space="preserve">CWoN’s FR_WLD_2024_195 reproducibility package delivers 146 series × 151 countries × 26 annual observations = approximately 575,000 data points. The Stata do-files, input CSVs, and methodology PDF run to thousands of pages. This is admirable as science but paralyzing as a decision-support system. The DSS audience—a Vice President reviewing IDA graduation, a Finance Minister comparing her country to peers—needs signal, not census.</w:t>
      </w:r>
    </w:p>
    <w:p>
      <w:pPr>
        <w:spacing w:after="160" w:before="0" w:line="276"/>
      </w:pPr>
      <w:r>
        <w:rPr>
          <w:rFonts w:ascii="Arial" w:cs="Arial" w:eastAsia="Arial" w:hAnsi="Arial"/>
          <w:sz w:val="22"/>
          <w:szCs w:val="22"/>
        </w:rPr>
        <w:t xml:space="preserve">OconEco’s CW risks compounding this: a 75-year span (1950–2025) × 200+ countries × four asset classes × multiple valuation halos = a combinatorial explosion that could dwarf CWoN’s data volume. The solution is deliberate titration: concentrate the information into a form that is policy-potent, publicly free, and resistant to misuse in ways that substitute the quest for econometric precision for the judgment calls that development policy actually requires.</w:t>
      </w:r>
    </w:p>
    <w:p>
      <w:pPr>
        <w:pStyle w:val="Heading2"/>
        <w:spacing w:after="160" w:before="0" w:line="276"/>
      </w:pPr>
      <w:r>
        <w:rPr>
          <w:rFonts w:ascii="Arial" w:cs="Arial" w:eastAsia="Arial" w:hAnsi="Arial"/>
          <w:sz w:val="22"/>
          <w:szCs w:val="22"/>
        </w:rPr>
        <w:t xml:space="preserve">4.2 The quinquennial US = 100 index</w:t>
      </w:r>
    </w:p>
    <w:p>
      <w:pPr>
        <w:spacing w:after="160" w:before="0" w:line="276"/>
      </w:pPr>
      <w:r>
        <w:rPr>
          <w:rFonts w:ascii="Arial" w:cs="Arial" w:eastAsia="Arial" w:hAnsi="Arial"/>
          <w:sz w:val="22"/>
          <w:szCs w:val="22"/>
        </w:rPr>
        <w:t xml:space="preserve">The publication form is a per-capita index with these properties:</w:t>
      </w:r>
    </w:p>
    <w:p>
      <w:pPr>
        <w:pStyle w:val="ListParagraph"/>
        <w:numPr>
          <w:ilvl w:val="0"/>
          <w:numId w:val="2"/>
        </w:numPr>
        <w:spacing w:after="160" w:before="0" w:line="276"/>
      </w:pPr>
      <w:r>
        <w:rPr>
          <w:rFonts w:ascii="Arial" w:cs="Arial" w:eastAsia="Arial" w:hAnsi="Arial"/>
          <w:sz w:val="22"/>
          <w:szCs w:val="22"/>
        </w:rPr>
        <w:t xml:space="preserve">Quinquennial centered averages (1950, 1955, …, 2020, 2025) as units of analysis, smoothing annual volatility without imposing parametric filters.</w:t>
      </w:r>
    </w:p>
    <w:p>
      <w:pPr>
        <w:pStyle w:val="ListParagraph"/>
        <w:numPr>
          <w:ilvl w:val="0"/>
          <w:numId w:val="2"/>
        </w:numPr>
        <w:spacing w:after="160" w:before="0" w:line="276"/>
      </w:pPr>
      <w:r>
        <w:rPr>
          <w:rFonts w:ascii="Arial" w:cs="Arial" w:eastAsia="Arial" w:hAnsi="Arial"/>
          <w:sz w:val="22"/>
          <w:szCs w:val="22"/>
        </w:rPr>
        <w:t xml:space="preserve">United States = 100 in each period, providing an immediately interpretable benchmark that connects to the take-off threshold (US = 100 in 1950 is the graduation benchmark from the Briefing Note on Take-Off, Graduation, and Commensuration).</w:t>
      </w:r>
    </w:p>
    <w:p>
      <w:pPr>
        <w:pStyle w:val="ListParagraph"/>
        <w:numPr>
          <w:ilvl w:val="0"/>
          <w:numId w:val="2"/>
        </w:numPr>
        <w:spacing w:after="160" w:before="0" w:line="276"/>
      </w:pPr>
      <w:r>
        <w:rPr>
          <w:rFonts w:ascii="Arial" w:cs="Arial" w:eastAsia="Arial" w:hAnsi="Arial"/>
          <w:sz w:val="22"/>
          <w:szCs w:val="22"/>
        </w:rPr>
        <w:t xml:space="preserve">Per-capita basis, consistent with the Bank’s operational metrics (GNI per capita for lending eligibility) and the population-weighted Gazetteer design.</w:t>
      </w:r>
    </w:p>
    <w:p>
      <w:pPr>
        <w:pStyle w:val="Heading2"/>
        <w:spacing w:after="160" w:before="0" w:line="276"/>
      </w:pPr>
      <w:r>
        <w:rPr>
          <w:rFonts w:ascii="Arial" w:cs="Arial" w:eastAsia="Arial" w:hAnsi="Arial"/>
          <w:sz w:val="22"/>
          <w:szCs w:val="22"/>
        </w:rPr>
        <w:t xml:space="preserve">4.3 What is public versus proprietary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Layer</w:t>
            </w:r>
          </w:p>
        </w:tc>
        <w:tc>
          <w:tcPr>
            <w:tcW w:type="dxa" w:w="32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Content</w:t>
            </w:r>
          </w:p>
        </w:tc>
        <w:tc>
          <w:tcPr>
            <w:tcW w:type="dxa" w:w="32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Access</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Policy signal (free)</w:t>
            </w:r>
          </w:p>
        </w:tc>
        <w:tc>
          <w:tcPr>
            <w:tcW w:type="dxa" w:w="328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Quinquennial US = 100 index, by country. Total CW, and SI/CW share. US$ per-capita denominators for each quinquennium.</w:t>
            </w:r>
          </w:p>
        </w:tc>
        <w:tc>
          <w:tcPr>
            <w:tcW w:type="dxa" w:w="328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Published on OconEco website. Downloadable. No restrictions.</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Explanatory PDF (free)</w:t>
            </w:r>
          </w:p>
        </w:tc>
        <w:tc>
          <w:tcPr>
            <w:tcW w:type="dxa" w:w="328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Methodology overview: balance-sheet identity, data sources, coverage. Analogous to CWoN methodology PDF.</w:t>
            </w:r>
          </w:p>
        </w:tc>
        <w:tc>
          <w:tcPr>
            <w:tcW w:type="dxa" w:w="328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Published alongside index. Sufficient to understand what the numbers mean.</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Replicability packet (restricted)</w:t>
            </w:r>
          </w:p>
        </w:tc>
        <w:tc>
          <w:tcPr>
            <w:tcW w:type="dxa" w:w="328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FAND workbooks, Python build scripts, SPMF updates, Operational Guidelines. The full “do-file” equivalent.</w:t>
            </w:r>
          </w:p>
        </w:tc>
        <w:tc>
          <w:tcPr>
            <w:tcW w:type="dxa" w:w="328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Password-protected. Available to collaborators and reviewers.</w:t>
            </w:r>
          </w:p>
        </w:tc>
      </w:tr>
      <w:tr>
        <w:tc>
          <w:tcPr>
            <w:tcW w:type="dxa" w:w="28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Working prototype (restricted)</w:t>
            </w:r>
          </w:p>
        </w:tc>
        <w:tc>
          <w:tcPr>
            <w:tcW w:type="dxa" w:w="328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Annual series, dollar values, component-level decomposition (HR, PA, NC, SI), liability estimates.</w:t>
            </w:r>
          </w:p>
        </w:tc>
        <w:tc>
          <w:tcPr>
            <w:tcW w:type="dxa" w:w="328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Internal use. Shared under NDA with research partners.</w:t>
            </w:r>
          </w:p>
        </w:tc>
      </w:tr>
    </w:tbl>
    <w:p>
      <w:pPr>
        <w:spacing w:after="120" w:before="0" w:line="276"/>
      </w:pPr>
      <w:r>
        <w:rPr>
          <w:rFonts w:ascii="Arial" w:cs="Arial" w:eastAsia="Arial" w:hAnsi="Arial"/>
          <w:sz w:val="22"/>
          <w:szCs w:val="22"/>
        </w:rPr>
        <w:t xml:space="preserve"/>
      </w:r>
    </w:p>
    <w:p>
      <w:pPr>
        <w:pStyle w:val="Heading2"/>
        <w:spacing w:after="160" w:before="0" w:line="276"/>
      </w:pPr>
      <w:r>
        <w:rPr>
          <w:rFonts w:ascii="Arial" w:cs="Arial" w:eastAsia="Arial" w:hAnsi="Arial"/>
          <w:sz w:val="22"/>
          <w:szCs w:val="22"/>
        </w:rPr>
        <w:t xml:space="preserve">4.4 Controlled reversibility: the US$ denominator</w:t>
      </w:r>
    </w:p>
    <w:p>
      <w:pPr>
        <w:spacing w:after="160" w:before="0" w:line="276"/>
      </w:pPr>
      <w:r>
        <w:rPr>
          <w:rFonts w:ascii="Arial" w:cs="Arial" w:eastAsia="Arial" w:hAnsi="Arial"/>
          <w:sz w:val="22"/>
          <w:szCs w:val="22"/>
        </w:rPr>
        <w:t xml:space="preserve">An index of US = 100 is technically reversible if the denominator is known: multiply any country’s index by the US per-capita value and divide by 100 to obtain the dollar amount. We will </w:t>
      </w:r>
      <w:r>
        <w:rPr>
          <w:rFonts w:ascii="Arial" w:cs="Arial" w:eastAsia="Arial" w:hAnsi="Arial"/>
          <w:i/>
          <w:iCs/>
          <w:sz w:val="22"/>
          <w:szCs w:val="22"/>
        </w:rPr>
        <w:t xml:space="preserve">publish</w:t>
      </w:r>
      <w:r>
        <w:rPr>
          <w:rFonts w:ascii="Arial" w:cs="Arial" w:eastAsia="Arial" w:hAnsi="Arial"/>
          <w:sz w:val="22"/>
          <w:szCs w:val="22"/>
        </w:rPr>
        <w:t xml:space="preserve"> the US per-capita CW series at quinquennial resolution. This is a deliberate design choice, not a leak. It means that any user with the free data can reconstruct quinquennial dollar values for any country. What they cannot do is obtain annual values, component decompositions, or the underlying K/O ratios and IC regression parameters.</w:t>
      </w:r>
    </w:p>
    <w:p>
      <w:pPr>
        <w:spacing w:after="160" w:before="0" w:line="276"/>
      </w:pPr>
      <w:r>
        <w:rPr>
          <w:rFonts w:ascii="Arial" w:cs="Arial" w:eastAsia="Arial" w:hAnsi="Arial"/>
          <w:sz w:val="22"/>
          <w:szCs w:val="22"/>
        </w:rPr>
        <w:t xml:space="preserve">The rationale has two parts. First, transparency: publishing the denominator removes any suspicion that the index is hiding embarrassing US numbers or rescaling to flatter the methodology. Anyone can verify that the US trajectory is reasonable against BEA’s own published wealth estimates. Second, and more important, the </w:t>
      </w:r>
      <w:r>
        <w:rPr>
          <w:rFonts w:ascii="Arial" w:cs="Arial" w:eastAsia="Arial" w:hAnsi="Arial"/>
          <w:i/>
          <w:iCs/>
          <w:sz w:val="22"/>
          <w:szCs w:val="22"/>
        </w:rPr>
        <w:t xml:space="preserve">anti-precision</w:t>
      </w:r>
      <w:r>
        <w:rPr>
          <w:rFonts w:ascii="Arial" w:cs="Arial" w:eastAsia="Arial" w:hAnsi="Arial"/>
          <w:sz w:val="22"/>
          <w:szCs w:val="22"/>
        </w:rPr>
        <w:t xml:space="preserve"> intent: quinquennial averages are deliberately coarse. They cannot be fed into annual panel regressions, vector autoregressions, or the other apparatus of precision-seeking econometrics that, in our assessment, mistakes the pursuit of statistical significance for the pursuit of policy accuracy. A researcher wanting to run annual regressions on CW components must negotiate access to the restricted replicability packet—and in doing so, accept the conditions under which that detail is responsibly used.</w:t>
      </w:r>
    </w:p>
    <w:p>
      <w:pPr>
        <w:spacing w:after="160" w:before="0" w:line="276"/>
      </w:pPr>
      <w:r>
        <w:rPr>
          <w:rFonts w:ascii="Arial" w:cs="Arial" w:eastAsia="Arial" w:hAnsi="Arial"/>
          <w:sz w:val="22"/>
          <w:szCs w:val="22"/>
        </w:rPr>
        <w:t xml:space="preserve">This applies equally to the Bank itself. We would welcome the Bank’s engagement with the restricted data, but on the condition that its use is documented and its interpretation consistent with the productive-stock framework of §4. The concern is not secrecy but stewardship: CW data in the hands of analysts who treat wealth as a BEA-style stock for constant-price growth decomposition would produce technically competent but conceptually misaligned results.</w:t>
      </w:r>
    </w:p>
    <w:p>
      <w:pPr>
        <w:pStyle w:val="Heading2"/>
        <w:spacing w:after="160" w:before="0" w:line="276"/>
      </w:pPr>
      <w:r>
        <w:rPr>
          <w:rFonts w:ascii="Arial" w:cs="Arial" w:eastAsia="Arial" w:hAnsi="Arial"/>
          <w:sz w:val="22"/>
          <w:szCs w:val="22"/>
        </w:rPr>
        <w:t xml:space="preserve">4.5 The validation protocol</w:t>
      </w:r>
    </w:p>
    <w:p>
      <w:pPr>
        <w:spacing w:after="160" w:before="0" w:line="276"/>
      </w:pPr>
      <w:r>
        <w:rPr>
          <w:rFonts w:ascii="Arial" w:cs="Arial" w:eastAsia="Arial" w:hAnsi="Arial"/>
          <w:sz w:val="22"/>
          <w:szCs w:val="22"/>
        </w:rPr>
        <w:t xml:space="preserve">John’s personal quality-assurance procedure is to examine the quinquennial US = 100 index for reasonableness. This is not a shortcut; it is the most demanding test. If China’s index shows an implausible trajectory—say, declining between 2010 and 2015 when every other indicator suggests explosive growth—the error is immediately visible. The index form strips away the unit confusion, decimal errors, and source-version discrepancies that plague detailed workbooks. It is the final filter through which all CW results must pass before publication.</w:t>
      </w:r>
    </w:p>
    <w:p>
      <w:pPr>
        <w:spacing w:after="160" w:before="0" w:line="276"/>
      </w:pPr>
      <w:r>
        <w:rPr>
          <w:rFonts w:ascii="Arial" w:cs="Arial" w:eastAsia="Arial" w:hAnsi="Arial"/>
          <w:sz w:val="22"/>
          <w:szCs w:val="22"/>
        </w:rPr>
        <w:t xml:space="preserve">The validation sequence is:</w:t>
      </w:r>
    </w:p>
    <w:p>
      <w:pPr>
        <w:pStyle w:val="ListParagraph"/>
        <w:numPr>
          <w:ilvl w:val="0"/>
          <w:numId w:val="3"/>
        </w:numPr>
        <w:spacing w:after="160" w:before="0" w:line="276"/>
      </w:pPr>
      <w:r>
        <w:rPr>
          <w:rFonts w:ascii="Arial" w:cs="Arial" w:eastAsia="Arial" w:hAnsi="Arial"/>
          <w:sz w:val="22"/>
          <w:szCs w:val="22"/>
        </w:rPr>
        <w:t xml:space="preserve">Build: compile annual current-dollar values from FAND workbooks via OG-002 twelve-step process.</w:t>
      </w:r>
    </w:p>
    <w:p>
      <w:pPr>
        <w:pStyle w:val="ListParagraph"/>
        <w:numPr>
          <w:ilvl w:val="0"/>
          <w:numId w:val="3"/>
        </w:numPr>
        <w:spacing w:after="160" w:before="0" w:line="276"/>
      </w:pPr>
      <w:r>
        <w:rPr>
          <w:rFonts w:ascii="Arial" w:cs="Arial" w:eastAsia="Arial" w:hAnsi="Arial"/>
          <w:sz w:val="22"/>
          <w:szCs w:val="22"/>
        </w:rPr>
        <w:t xml:space="preserve">Aggregate: compute quinquennial centered averages.</w:t>
      </w:r>
    </w:p>
    <w:p>
      <w:pPr>
        <w:pStyle w:val="ListParagraph"/>
        <w:numPr>
          <w:ilvl w:val="0"/>
          <w:numId w:val="3"/>
        </w:numPr>
        <w:spacing w:after="160" w:before="0" w:line="276"/>
      </w:pPr>
      <w:r>
        <w:rPr>
          <w:rFonts w:ascii="Arial" w:cs="Arial" w:eastAsia="Arial" w:hAnsi="Arial"/>
          <w:sz w:val="22"/>
          <w:szCs w:val="22"/>
        </w:rPr>
        <w:t xml:space="preserve">Index: express as US = 100.</w:t>
      </w:r>
    </w:p>
    <w:p>
      <w:pPr>
        <w:pStyle w:val="ListParagraph"/>
        <w:numPr>
          <w:ilvl w:val="0"/>
          <w:numId w:val="3"/>
        </w:numPr>
        <w:spacing w:after="160" w:before="0" w:line="276"/>
      </w:pPr>
      <w:r>
        <w:rPr>
          <w:rFonts w:ascii="Arial" w:cs="Arial" w:eastAsia="Arial" w:hAnsi="Arial"/>
          <w:sz w:val="22"/>
          <w:szCs w:val="22"/>
        </w:rPr>
        <w:t xml:space="preserve">Validate: review index trajectories for each country against known history. Flag anomalies.</w:t>
      </w:r>
    </w:p>
    <w:p>
      <w:pPr>
        <w:pStyle w:val="ListParagraph"/>
        <w:numPr>
          <w:ilvl w:val="0"/>
          <w:numId w:val="3"/>
        </w:numPr>
        <w:spacing w:after="160" w:before="0" w:line="276"/>
      </w:pPr>
      <w:r>
        <w:rPr>
          <w:rFonts w:ascii="Arial" w:cs="Arial" w:eastAsia="Arial" w:hAnsi="Arial"/>
          <w:sz w:val="22"/>
          <w:szCs w:val="22"/>
        </w:rPr>
        <w:t xml:space="preserve">Cross-check: compare CWoN K/O (from CWoN2024 tab) against OconEco K/O. Investigate divergences exceeding 20%.</w:t>
      </w:r>
    </w:p>
    <w:p>
      <w:pPr>
        <w:pStyle w:val="ListParagraph"/>
        <w:numPr>
          <w:ilvl w:val="0"/>
          <w:numId w:val="3"/>
        </w:numPr>
        <w:spacing w:after="160" w:before="0" w:line="276"/>
      </w:pPr>
      <w:r>
        <w:rPr>
          <w:rFonts w:ascii="Arial" w:cs="Arial" w:eastAsia="Arial" w:hAnsi="Arial"/>
          <w:sz w:val="22"/>
          <w:szCs w:val="22"/>
        </w:rPr>
        <w:t xml:space="preserve">Publish: release index, US$ denominators, and explanatory PDF. Archive working files in replicability packet.</w:t>
      </w:r>
    </w:p>
    <w:p>
      <w:r>
        <w:br w:type="page"/>
      </w:r>
    </w:p>
    <w:p>
      <w:pPr>
        <w:pStyle w:val="Heading1"/>
        <w:spacing w:after="160" w:before="0" w:line="276"/>
      </w:pPr>
      <w:r>
        <w:rPr>
          <w:rFonts w:ascii="Arial" w:cs="Arial" w:eastAsia="Arial" w:hAnsi="Arial"/>
          <w:sz w:val="22"/>
          <w:szCs w:val="22"/>
        </w:rPr>
        <w:t xml:space="preserve">5. From Nations to Regions: The Subnational Imperative</w:t>
      </w:r>
    </w:p>
    <w:p>
      <w:pPr>
        <w:pStyle w:val="Heading2"/>
        <w:spacing w:after="160" w:before="0" w:line="276"/>
      </w:pPr>
      <w:r>
        <w:rPr>
          <w:rFonts w:ascii="Arial" w:cs="Arial" w:eastAsia="Arial" w:hAnsi="Arial"/>
          <w:sz w:val="22"/>
          <w:szCs w:val="22"/>
        </w:rPr>
        <w:t xml:space="preserve">5.1 Why subnational matters for CW</w:t>
      </w:r>
    </w:p>
    <w:p>
      <w:pPr>
        <w:spacing w:after="160" w:before="0" w:line="276"/>
      </w:pPr>
      <w:r>
        <w:rPr>
          <w:rFonts w:ascii="Arial" w:cs="Arial" w:eastAsia="Arial" w:hAnsi="Arial"/>
          <w:sz w:val="22"/>
          <w:szCs w:val="22"/>
        </w:rPr>
        <w:t xml:space="preserve">A national-level balance sheet for India or China averages over internal variation that dwarfs the cross-country differences the index is designed to highlight. The 38-fold asymmetry between rich/sparse and poor/dense regions (documented in the OconEco project rationale) operates within countries as much as between them. The Where hierarchy’s target—most populous subnational unit below 10 million inhabitants—exists precisely to bring the balance sheet closer to the scale at which policy decisions are made and development outcomes are experienced.</w:t>
      </w:r>
    </w:p>
    <w:p>
      <w:pPr>
        <w:spacing w:after="160" w:before="0" w:line="276"/>
      </w:pPr>
      <w:r>
        <w:rPr>
          <w:rFonts w:ascii="Arial" w:cs="Arial" w:eastAsia="Arial" w:hAnsi="Arial"/>
          <w:sz w:val="22"/>
          <w:szCs w:val="22"/>
        </w:rPr>
        <w:t xml:space="preserve">The June 2026 milestone calls for two proofs of concept: a global subnational PoC (international comparisons at Admin 1/2), and a US hyper-local PoC (Census Block Group or county level). The international PoC demonstrates breadth; the US PoC demonstrates depth. Together they establish that the CW framework scales in both directions.</w:t>
      </w:r>
    </w:p>
    <w:p>
      <w:pPr>
        <w:pStyle w:val="Heading2"/>
        <w:spacing w:after="160" w:before="0" w:line="276"/>
      </w:pPr>
      <w:r>
        <w:rPr>
          <w:rFonts w:ascii="Arial" w:cs="Arial" w:eastAsia="Arial" w:hAnsi="Arial"/>
          <w:sz w:val="22"/>
          <w:szCs w:val="22"/>
        </w:rPr>
        <w:t xml:space="preserve">5.2 The US county-level architecture</w:t>
      </w:r>
    </w:p>
    <w:p>
      <w:pPr>
        <w:spacing w:after="160" w:before="0" w:line="276"/>
      </w:pPr>
      <w:r>
        <w:rPr>
          <w:rFonts w:ascii="Arial" w:cs="Arial" w:eastAsia="Arial" w:hAnsi="Arial"/>
          <w:sz w:val="22"/>
          <w:szCs w:val="22"/>
        </w:rPr>
        <w:t xml:space="preserve">The template for the subnational PoC is the US county-level wealth accounting system originally designed by John O’Connor and now being updated for integration with FAND. The existing prototype (Wealth US Counties, September 2025) covers 3,084 counties with a 49-column asset architecture organized under an 83-item DIMwealth hierarchy. The hierarchy maps directly onto the CW balance sheet:</w:t>
      </w:r>
    </w:p>
    <w:p>
      <w:pPr>
        <w:pStyle w:val="ListParagraph"/>
        <w:numPr>
          <w:ilvl w:val="0"/>
          <w:numId w:val="2"/>
        </w:numPr>
        <w:spacing w:after="160" w:before="0" w:line="276"/>
      </w:pPr>
      <w:r>
        <w:rPr>
          <w:rFonts w:ascii="Arial" w:cs="Arial" w:eastAsia="Arial" w:hAnsi="Arial"/>
          <w:sz w:val="22"/>
          <w:szCs w:val="22"/>
        </w:rPr>
        <w:t xml:space="preserve">Property Assets (WP): key financial assets (bank deposits, Social Security PV, pensions, equities), tangible depreciating assets (business equipment, consumer durables, structures), and land and structures (homes, business/residential land, farmland, timberland).</w:t>
      </w:r>
    </w:p>
    <w:p>
      <w:pPr>
        <w:pStyle w:val="ListParagraph"/>
        <w:numPr>
          <w:ilvl w:val="0"/>
          <w:numId w:val="2"/>
        </w:numPr>
        <w:spacing w:after="160" w:before="0" w:line="276"/>
      </w:pPr>
      <w:r>
        <w:rPr>
          <w:rFonts w:ascii="Arial" w:cs="Arial" w:eastAsia="Arial" w:hAnsi="Arial"/>
          <w:sz w:val="22"/>
          <w:szCs w:val="22"/>
        </w:rPr>
        <w:t xml:space="preserve">Natural Capital (WN): subsoil assets (oil, gas, coal reserves at county level—31%, 27%, 5% coverage respectively), forest growth and stock (stub), water cycle (precipitation, power, storage, irrigation—stub), carbon sinks (stub).</w:t>
      </w:r>
    </w:p>
    <w:p>
      <w:pPr>
        <w:pStyle w:val="ListParagraph"/>
        <w:numPr>
          <w:ilvl w:val="0"/>
          <w:numId w:val="2"/>
        </w:numPr>
        <w:spacing w:after="160" w:before="0" w:line="276"/>
      </w:pPr>
      <w:r>
        <w:rPr>
          <w:rFonts w:ascii="Arial" w:cs="Arial" w:eastAsia="Arial" w:hAnsi="Arial"/>
          <w:sz w:val="22"/>
          <w:szCs w:val="22"/>
        </w:rPr>
        <w:t xml:space="preserve">Intangible Assets (WI): Human Resources (100% coverage) and Social Infrastructure (stub—to be derived as residual, mirroring the national methodology).</w:t>
      </w:r>
    </w:p>
    <w:p>
      <w:pPr>
        <w:pStyle w:val="ListParagraph"/>
        <w:numPr>
          <w:ilvl w:val="0"/>
          <w:numId w:val="2"/>
        </w:numPr>
        <w:spacing w:after="160" w:before="0" w:line="276"/>
      </w:pPr>
      <w:r>
        <w:rPr>
          <w:rFonts w:ascii="Arial" w:cs="Arial" w:eastAsia="Arial" w:hAnsi="Arial"/>
          <w:sz w:val="22"/>
          <w:szCs w:val="22"/>
        </w:rPr>
        <w:t xml:space="preserve">Liabilities (L): financial obligations, environmental liabilities (Superfund, CO₂ by source, air pollutants by species). Structure exists for 14 liability categories; data population is the next phase.</w:t>
      </w:r>
    </w:p>
    <w:p>
      <w:pPr>
        <w:spacing w:after="160" w:before="0" w:line="276"/>
      </w:pPr>
      <w:r>
        <w:rPr>
          <w:rFonts w:ascii="Arial" w:cs="Arial" w:eastAsia="Arial" w:hAnsi="Arial"/>
          <w:sz w:val="22"/>
          <w:szCs w:val="22"/>
        </w:rPr>
        <w:t xml:space="preserve">The parametric sheets use discount rates (r = 0.04 standard, 0.055 for water power) and present-value capitalization consistent with CWoN methodology. RUCC (Rural-Urban Continuum Codes) and FRB district mappings provide the aggregation scaffolding for regional analysis.</w:t>
      </w:r>
    </w:p>
    <w:p>
      <w:pPr>
        <w:pStyle w:val="Heading2"/>
        <w:spacing w:after="160" w:before="0" w:line="276"/>
      </w:pPr>
      <w:r>
        <w:rPr>
          <w:rFonts w:ascii="Arial" w:cs="Arial" w:eastAsia="Arial" w:hAnsi="Arial"/>
          <w:sz w:val="22"/>
          <w:szCs w:val="22"/>
        </w:rPr>
        <w:t xml:space="preserve">5.3 What the US PoC demonstrates</w:t>
      </w:r>
    </w:p>
    <w:p>
      <w:pPr>
        <w:spacing w:after="160" w:before="0" w:line="276"/>
      </w:pPr>
      <w:r>
        <w:rPr>
          <w:rFonts w:ascii="Arial" w:cs="Arial" w:eastAsia="Arial" w:hAnsi="Arial"/>
          <w:sz w:val="22"/>
          <w:szCs w:val="22"/>
        </w:rPr>
        <w:t xml:space="preserve">The US PoC serves three purposes. First, it validates the CW methodology against the richest subnational data environment on earth: BEA regional accounts, Census Bureau demographic detail, USGS mineral assessments by state, USDA county-level agricultural data, and BLS employment statistics all exist at county resolution. If CW cannot produce plausible results where data are abundant, it cannot be trusted where data are sparse.</w:t>
      </w:r>
    </w:p>
    <w:p>
      <w:pPr>
        <w:spacing w:after="160" w:before="0" w:line="276"/>
      </w:pPr>
      <w:r>
        <w:rPr>
          <w:rFonts w:ascii="Arial" w:cs="Arial" w:eastAsia="Arial" w:hAnsi="Arial"/>
          <w:sz w:val="22"/>
          <w:szCs w:val="22"/>
        </w:rPr>
        <w:t xml:space="preserve">Second, it provides the template for international replication. The DIMwealth hierarchy’s 83 categories are a superset of what any developing country can populate. The exercise of mapping Duval County, Florida or Malheur County, Oregon to the CW framework reveals exactly which data requirements bind and where proxies are needed—lessons directly transferable to mapping Mombasa County, Kenya or Sylhet Division, Bangladesh.</w:t>
      </w:r>
    </w:p>
    <w:p>
      <w:pPr>
        <w:spacing w:after="160" w:before="0" w:line="276"/>
      </w:pPr>
      <w:r>
        <w:rPr>
          <w:rFonts w:ascii="Arial" w:cs="Arial" w:eastAsia="Arial" w:hAnsi="Arial"/>
          <w:sz w:val="22"/>
          <w:szCs w:val="22"/>
        </w:rPr>
        <w:t xml:space="preserve">Third, it connects to the SLO (Social License to Operate) mapping use case. EITI subnational payment data, when mapped to OconEco county codes, reveals the SLO Intensity Index—corporate payments to local government as a share of regional GDP—at the spatial resolution where extractive impacts are actually felt. This is the Where × What tethering in its most granular operational form.</w:t>
      </w:r>
    </w:p>
    <w:p>
      <w:pPr>
        <w:pStyle w:val="Heading1"/>
        <w:spacing w:after="160" w:before="0" w:line="276"/>
      </w:pPr>
      <w:r>
        <w:rPr>
          <w:rFonts w:ascii="Arial" w:cs="Arial" w:eastAsia="Arial" w:hAnsi="Arial"/>
          <w:sz w:val="22"/>
          <w:szCs w:val="22"/>
        </w:rPr>
        <w:t xml:space="preserve">6. Why the Balance Sheet, Not Just Three Assets</w:t>
      </w:r>
    </w:p>
    <w:p>
      <w:pPr>
        <w:pStyle w:val="Heading2"/>
        <w:spacing w:after="160" w:before="0" w:line="276"/>
      </w:pPr>
      <w:r>
        <w:rPr>
          <w:rFonts w:ascii="Arial" w:cs="Arial" w:eastAsia="Arial" w:hAnsi="Arial"/>
          <w:sz w:val="22"/>
          <w:szCs w:val="22"/>
        </w:rPr>
        <w:t xml:space="preserve">6.1 The MEP page 68 design</w:t>
      </w:r>
    </w:p>
    <w:p>
      <w:pPr>
        <w:spacing w:after="160" w:before="0" w:line="276"/>
      </w:pPr>
      <w:r>
        <w:rPr>
          <w:rFonts w:ascii="Arial" w:cs="Arial" w:eastAsia="Arial" w:hAnsi="Arial"/>
          <w:sz w:val="22"/>
          <w:szCs w:val="22"/>
        </w:rPr>
        <w:t xml:space="preserve">The 1995 Monitoring Environmental Progress balance sheet was not a wealth estimate. It was a </w:t>
      </w:r>
      <w:r>
        <w:rPr>
          <w:rFonts w:ascii="Arial" w:cs="Arial" w:eastAsia="Arial" w:hAnsi="Arial"/>
          <w:b/>
          <w:bCs/>
          <w:sz w:val="22"/>
          <w:szCs w:val="22"/>
        </w:rPr>
        <w:t xml:space="preserve">decision-support tool for a financial intermediary</w:t>
      </w:r>
      <w:r>
        <w:rPr>
          <w:rFonts w:ascii="Arial" w:cs="Arial" w:eastAsia="Arial" w:hAnsi="Arial"/>
          <w:sz w:val="22"/>
          <w:szCs w:val="22"/>
        </w:rPr>
        <w:t xml:space="preserve">. The asset side catalogued productive capacity (HR + PA + NC + SI). The liability side catalogued obligations (sovereign debt, deferred maintenance, intergenerational claims). Net Worth—the residual—answered the lending question: is there a margin of safety between what this society can produce and what it owes?</w:t>
      </w:r>
    </w:p>
    <w:p>
      <w:pPr>
        <w:spacing w:after="160" w:before="0" w:line="276"/>
      </w:pPr>
      <w:r>
        <w:rPr>
          <w:rFonts w:ascii="Arial" w:cs="Arial" w:eastAsia="Arial" w:hAnsi="Arial"/>
          <w:sz w:val="22"/>
          <w:szCs w:val="22"/>
        </w:rPr>
        <w:t xml:space="preserve">CWoN chose to estimate three of the four assets (HC, PA, NC) and sum them. This is valuable but incomplete. Without SI, the balance sheet has a missing row on the asset side. Without liabilities, it has no right-hand column at all. The result is that CWoN answers “how much measurable wealth does this country have?” but cannot answer “is this country solvent?”—the question the Bank’s Articles require it to evaluate.</w:t>
      </w:r>
    </w:p>
    <w:p>
      <w:pPr>
        <w:pStyle w:val="Heading2"/>
        <w:spacing w:after="160" w:before="0" w:line="276"/>
      </w:pPr>
      <w:r>
        <w:rPr>
          <w:rFonts w:ascii="Arial" w:cs="Arial" w:eastAsia="Arial" w:hAnsi="Arial"/>
          <w:sz w:val="22"/>
          <w:szCs w:val="22"/>
        </w:rPr>
        <w:t xml:space="preserve">6.2 CWoN’s focus on “constant prices” as the tail wagging the dog</w:t>
      </w:r>
    </w:p>
    <w:p>
      <w:pPr>
        <w:spacing w:after="160" w:before="0" w:line="276"/>
      </w:pPr>
      <w:r>
        <w:rPr>
          <w:rFonts w:ascii="Arial" w:cs="Arial" w:eastAsia="Arial" w:hAnsi="Arial"/>
          <w:sz w:val="22"/>
          <w:szCs w:val="22"/>
        </w:rPr>
        <w:t xml:space="preserve">Having limited the balance sheet to three assets, CWoN devoted its analytical energy to expressing those assets in “constant prices”—first via GDP-IPI deflation, then via chained Törnqvist volume indices. This is a worthwhile contribution to growth accounting. But it displaced the original purpose. The MEP balance sheet was embedded in a DSS whose primary audience was Bank operational staff deciding whether to extend credit. That audience needs current-dollar solvency assessment, not chain-linked volume indices.</w:t>
      </w:r>
    </w:p>
    <w:p>
      <w:pPr>
        <w:spacing w:after="160" w:before="0" w:line="276"/>
      </w:pPr>
      <w:r>
        <w:rPr>
          <w:rFonts w:ascii="Arial" w:cs="Arial" w:eastAsia="Arial" w:hAnsi="Arial"/>
          <w:sz w:val="22"/>
          <w:szCs w:val="22"/>
        </w:rPr>
        <w:t xml:space="preserve">The analogy to corporate finance is exact. A bank evaluating a corporate loan examines the current balance sheet (current assets, current liabilities, net worth at book value) and the income statement (current revenue, current costs, current earnings). It may also review inflation-adjusted earnings trends for analytical depth. But the credit decision rests on the current-dollar numbers. OconEco’s CW restores this ordering: current-dollar balance sheet as the primary output, with real analysis as an available diagnostic.</w:t>
      </w:r>
    </w:p>
    <w:p>
      <w:pPr>
        <w:pStyle w:val="Heading2"/>
        <w:spacing w:after="160" w:before="0" w:line="276"/>
      </w:pPr>
      <w:r>
        <w:rPr>
          <w:rFonts w:ascii="Arial" w:cs="Arial" w:eastAsia="Arial" w:hAnsi="Arial"/>
          <w:sz w:val="22"/>
          <w:szCs w:val="22"/>
        </w:rPr>
        <w:t xml:space="preserve">6.3 The Bretton Woods moral hazard: financial intermediation misrepresented</w:t>
      </w:r>
    </w:p>
    <w:p>
      <w:pPr>
        <w:spacing w:after="160" w:before="0" w:line="276"/>
      </w:pPr>
      <w:r>
        <w:rPr>
          <w:rFonts w:ascii="Arial" w:cs="Arial" w:eastAsia="Arial" w:hAnsi="Arial"/>
          <w:sz w:val="22"/>
          <w:szCs w:val="22"/>
        </w:rPr>
        <w:t xml:space="preserve">The NBER/CRIW conference volume </w:t>
      </w:r>
      <w:r>
        <w:rPr>
          <w:rFonts w:ascii="Arial" w:cs="Arial" w:eastAsia="Arial" w:hAnsi="Arial"/>
          <w:i/>
          <w:iCs/>
          <w:sz w:val="22"/>
          <w:szCs w:val="22"/>
        </w:rPr>
        <w:t xml:space="preserve">Measuring Wealth and Financial Intermediation and their Links to the Real Economy</w:t>
      </w:r>
      <w:r>
        <w:rPr>
          <w:rFonts w:ascii="Arial" w:cs="Arial" w:eastAsia="Arial" w:hAnsi="Arial"/>
          <w:sz w:val="22"/>
          <w:szCs w:val="22"/>
        </w:rPr>
        <w:t xml:space="preserve"> (Hulten &amp; Reinsdorf, eds., 2014) exposed a systemic problem that bears directly on CW’s design. The financial crisis of 2007–2008 was not invisible in the data; it was invisible in the data </w:t>
      </w:r>
      <w:r>
        <w:rPr>
          <w:rFonts w:ascii="Arial" w:cs="Arial" w:eastAsia="Arial" w:hAnsi="Arial"/>
          <w:i/>
          <w:iCs/>
          <w:sz w:val="22"/>
          <w:szCs w:val="22"/>
        </w:rPr>
        <w:t xml:space="preserve">that policy institutions chose to look at</w:t>
      </w:r>
      <w:r>
        <w:rPr>
          <w:rFonts w:ascii="Arial" w:cs="Arial" w:eastAsia="Arial" w:hAnsi="Arial"/>
          <w:sz w:val="22"/>
          <w:szCs w:val="22"/>
        </w:rPr>
        <w:t xml:space="preserve">. Aggregate statistics buried crisis-relevant microeconomic information. Composition changes—the shift from prime to subprime mortgages, the migration of intermediation from regulated banks to shadow entities—were concealed by the very aggregation that made the accounts “statistically manageable.”</w:t>
      </w:r>
    </w:p>
    <w:p>
      <w:pPr>
        <w:spacing w:after="160" w:before="0" w:line="276"/>
      </w:pPr>
      <w:r>
        <w:rPr>
          <w:rFonts w:ascii="Arial" w:cs="Arial" w:eastAsia="Arial" w:hAnsi="Arial"/>
          <w:sz w:val="22"/>
          <w:szCs w:val="22"/>
        </w:rPr>
        <w:t xml:space="preserve">Corrado and Hulten’s contribution to that volume argues that the centrality of financial intermediation has not been properly recognized in the macroeconomic accounting framework. Financial intermediaries transform financial claims in the dimensions of liquidity, maturity, and credit risk. When intermediation chains become complex, the pricing of financial assets can diverge from the present value of the income streams or the replacement cost of the underlying capital—producing the Tobin’s q divergences that preceded both the dot-com bubble and the 2008 crisis. The IMAs and Flow of Funds Accounts, the principal statistical instruments for monitoring intermediation, did not distinguish subprime from prime mortgages, asset-backed securities from corporate bonds, or the holdings of shadow banking entities from regulated institutions.</w:t>
      </w:r>
    </w:p>
    <w:p>
      <w:pPr>
        <w:spacing w:after="160" w:before="0" w:line="276"/>
      </w:pPr>
      <w:r>
        <w:rPr>
          <w:rFonts w:ascii="Arial" w:cs="Arial" w:eastAsia="Arial" w:hAnsi="Arial"/>
          <w:sz w:val="22"/>
          <w:szCs w:val="22"/>
        </w:rPr>
        <w:t xml:space="preserve">This matters for OconEco because the World Bank and IMF </w:t>
      </w:r>
      <w:r>
        <w:rPr>
          <w:rFonts w:ascii="Arial" w:cs="Arial" w:eastAsia="Arial" w:hAnsi="Arial"/>
          <w:i/>
          <w:iCs/>
          <w:sz w:val="22"/>
          <w:szCs w:val="22"/>
        </w:rPr>
        <w:t xml:space="preserve">are</w:t>
      </w:r>
      <w:r>
        <w:rPr>
          <w:rFonts w:ascii="Arial" w:cs="Arial" w:eastAsia="Arial" w:hAnsi="Arial"/>
          <w:sz w:val="22"/>
          <w:szCs w:val="22"/>
        </w:rPr>
        <w:t xml:space="preserve"> financial intermediaries. The Bank transforms sovereign credit risk; the Fund provides liquidity insurance. Both rely on SNA-family accounting frameworks that, as Hulten and Reinsdorf’s volume documents, systematically misrepresent the financial-intermediation sector’s contribution to—and risks to—the real economy. To sit at what one might call the global financial governance table while relying on accounts that rendered shadow banking invisible and that still cannot distinguish intermediation services from holding gains is, at minimum, a reputational risk. At worst, it is a moral hazard: the institutions charged with global financial stability are flying instruments that failed their last stress test.</w:t>
      </w:r>
    </w:p>
    <w:p>
      <w:pPr>
        <w:spacing w:after="160" w:before="0" w:line="276"/>
      </w:pPr>
      <w:r>
        <w:rPr>
          <w:rFonts w:ascii="Arial" w:cs="Arial" w:eastAsia="Arial" w:hAnsi="Arial"/>
          <w:sz w:val="22"/>
          <w:szCs w:val="22"/>
        </w:rPr>
        <w:t xml:space="preserve">OconEco’s response is two-fold. On the asset side, the productive-stock interpretation (§3) avoids the Tobin’s q trap by anchoring CW to income generation rather than market valuation—precisely the metric that financial intermediaries use to assess creditworthiness. On the liability side (§6.1), we restore the obligations column that CWoN omitted, including sovereign debt service costs that the Fund tracks but the Bank’s wealth accounting ignores. The balance-sheet format, unlike the three-asset sum, forces the DSS to confront leverage, not just assets.</w:t>
      </w:r>
    </w:p>
    <w:p>
      <w:pPr>
        <w:spacing w:after="160" w:before="0" w:line="276"/>
      </w:pPr>
      <w:r>
        <w:rPr>
          <w:rFonts w:ascii="Arial" w:cs="Arial" w:eastAsia="Arial" w:hAnsi="Arial"/>
          <w:sz w:val="22"/>
          <w:szCs w:val="22"/>
        </w:rPr>
        <w:t xml:space="preserve">The point requires finesse in communication. No one benefits from publicly disparaging the Bretton Woods institutions’ statistical capacity. The productive framing is that OconEco’s balance sheet remedies a gap that the institutions themselves have acknowledged in other contexts—the IMF’s post-crisis data-gaps initiatives, the FSB’s shadow banking monitoring, the Bank’s own shift toward incorporating climate risk. The MEP’s 1995 balance sheet, read correctly, anticipated all of this: it was a DSS design that took both assets and liabilities seriously, in current dollars, for a financial intermediary. Recovering that design is an act of institutional loyalty, not criticism.</w:t>
      </w:r>
    </w:p>
    <w:p>
      <w:pPr>
        <w:pStyle w:val="Heading1"/>
        <w:spacing w:after="160" w:before="0" w:line="276"/>
      </w:pPr>
      <w:r>
        <w:rPr>
          <w:rFonts w:ascii="Arial" w:cs="Arial" w:eastAsia="Arial" w:hAnsi="Arial"/>
          <w:sz w:val="22"/>
          <w:szCs w:val="22"/>
        </w:rPr>
        <w:t xml:space="preserve">7. Transformation Protocol: From Working Prototype to Publication</w:t>
      </w:r>
    </w:p>
    <w:p>
      <w:pPr>
        <w:spacing w:after="160" w:before="0" w:line="276"/>
      </w:pPr>
      <w:r>
        <w:rPr>
          <w:rFonts w:ascii="Arial" w:cs="Arial" w:eastAsia="Arial" w:hAnsi="Arial"/>
          <w:sz w:val="22"/>
          <w:szCs w:val="22"/>
        </w:rPr>
        <w:t xml:space="preserve">The following transformations systematically titrate detailed workbook data to the public-facing index:</w:t>
      </w:r>
    </w:p>
    <w:p>
      <w:pPr>
        <w:pStyle w:val="Heading2"/>
        <w:spacing w:after="160" w:before="0" w:line="276"/>
      </w:pPr>
      <w:r>
        <w:rPr>
          <w:rFonts w:ascii="Arial" w:cs="Arial" w:eastAsia="Arial" w:hAnsi="Arial"/>
          <w:sz w:val="22"/>
          <w:szCs w:val="22"/>
        </w:rPr>
        <w:t xml:space="preserve">7.1 Temporal aggregation</w:t>
      </w:r>
    </w:p>
    <w:p>
      <w:pPr>
        <w:spacing w:after="160" w:before="0" w:line="276"/>
      </w:pPr>
      <w:r>
        <w:rPr>
          <w:rFonts w:ascii="Arial" w:cs="Arial" w:eastAsia="Arial" w:hAnsi="Arial"/>
          <w:sz w:val="22"/>
          <w:szCs w:val="22"/>
        </w:rPr>
        <w:t xml:space="preserve">Annual observations (the unit of observation) are averaged into quinquennial centered windows (the unit of analysis). For the period centered on 2000, this is the arithmetic mean of 1998–2002. Edge years (1950, 2025) use asymmetric windows.</w:t>
      </w:r>
    </w:p>
    <w:p>
      <w:pPr>
        <w:pStyle w:val="Heading2"/>
        <w:spacing w:after="160" w:before="0" w:line="276"/>
      </w:pPr>
      <w:r>
        <w:rPr>
          <w:rFonts w:ascii="Arial" w:cs="Arial" w:eastAsia="Arial" w:hAnsi="Arial"/>
          <w:sz w:val="22"/>
          <w:szCs w:val="22"/>
        </w:rPr>
        <w:t xml:space="preserve">7.2 Normalization</w:t>
      </w:r>
    </w:p>
    <w:p>
      <w:pPr>
        <w:spacing w:after="160" w:before="0" w:line="276"/>
      </w:pPr>
      <w:r>
        <w:rPr>
          <w:rFonts w:ascii="Arial" w:cs="Arial" w:eastAsia="Arial" w:hAnsi="Arial"/>
          <w:sz w:val="22"/>
          <w:szCs w:val="22"/>
        </w:rPr>
        <w:t xml:space="preserve">Each quinquennial per-capita value is divided by the corresponding US value and multiplied by 100. This produces the US = 100 index. The US value is itself the quinquennial average, providing a stable denominator. The denominator (US$ per capita for each quinquennium) is published alongside the index, enabling controlled reversibility (§4.4).</w:t>
      </w:r>
    </w:p>
    <w:p>
      <w:pPr>
        <w:pStyle w:val="Heading2"/>
        <w:spacing w:after="160" w:before="0" w:line="276"/>
      </w:pPr>
      <w:r>
        <w:rPr>
          <w:rFonts w:ascii="Arial" w:cs="Arial" w:eastAsia="Arial" w:hAnsi="Arial"/>
          <w:sz w:val="22"/>
          <w:szCs w:val="22"/>
        </w:rPr>
        <w:t xml:space="preserve">7.3 Component suppression</w:t>
      </w:r>
    </w:p>
    <w:p>
      <w:pPr>
        <w:spacing w:after="160" w:before="0" w:line="276"/>
      </w:pPr>
      <w:r>
        <w:rPr>
          <w:rFonts w:ascii="Arial" w:cs="Arial" w:eastAsia="Arial" w:hAnsi="Arial"/>
          <w:sz w:val="22"/>
          <w:szCs w:val="22"/>
        </w:rPr>
        <w:t xml:space="preserve">The public index reports total CW and the SI/CW share. It does not publish the HR, PA, or NC components separately. This prevents reverse-engineering of the K/O ratio or the IC regression parameters. The component decomposition is available in the restricted replicability packet.</w:t>
      </w:r>
    </w:p>
    <w:p>
      <w:pPr>
        <w:pStyle w:val="Heading2"/>
        <w:spacing w:after="160" w:before="0" w:line="276"/>
      </w:pPr>
      <w:r>
        <w:rPr>
          <w:rFonts w:ascii="Arial" w:cs="Arial" w:eastAsia="Arial" w:hAnsi="Arial"/>
          <w:sz w:val="22"/>
          <w:szCs w:val="22"/>
        </w:rPr>
        <w:t xml:space="preserve">7.4 Liability summary</w:t>
      </w:r>
    </w:p>
    <w:p>
      <w:pPr>
        <w:spacing w:after="160" w:before="0" w:line="276"/>
      </w:pPr>
      <w:r>
        <w:rPr>
          <w:rFonts w:ascii="Arial" w:cs="Arial" w:eastAsia="Arial" w:hAnsi="Arial"/>
          <w:sz w:val="22"/>
          <w:szCs w:val="22"/>
        </w:rPr>
        <w:t xml:space="preserve">When liability estimates are complete (sovereign debt + CO₂ obligations as first phase), the public output will include a Net Worth index (Assets − Liabilities, US = 100) alongside the CW asset index. This completes the MEP page 68 design in public-facing form.</w:t>
      </w:r>
    </w:p>
    <w:p>
      <w:pPr>
        <w:pStyle w:val="Heading2"/>
        <w:spacing w:after="160" w:before="0" w:line="276"/>
      </w:pPr>
      <w:r>
        <w:rPr>
          <w:rFonts w:ascii="Arial" w:cs="Arial" w:eastAsia="Arial" w:hAnsi="Arial"/>
          <w:sz w:val="22"/>
          <w:szCs w:val="22"/>
        </w:rPr>
        <w:t xml:space="preserve">7.5 Subnational extension</w:t>
      </w:r>
    </w:p>
    <w:p>
      <w:pPr>
        <w:spacing w:after="160" w:before="0" w:line="276"/>
      </w:pPr>
      <w:r>
        <w:rPr>
          <w:rFonts w:ascii="Arial" w:cs="Arial" w:eastAsia="Arial" w:hAnsi="Arial"/>
          <w:sz w:val="22"/>
          <w:szCs w:val="22"/>
        </w:rPr>
        <w:t xml:space="preserve">For the US PoC, the same transformation protocol applies at county or state level, with the US national average replacing the US quinquennial value as denominator. International subnational PoC uses the national CW per capita as denominator (region/nation × 100). Subnational indices are published separately from the national index, with appropriate caveats about data quality at finer spatial resolution.</w:t>
      </w:r>
    </w:p>
    <w:p>
      <w:pPr>
        <w:pStyle w:val="Heading1"/>
        <w:spacing w:after="160" w:before="0" w:line="276"/>
      </w:pPr>
      <w:r>
        <w:rPr>
          <w:rFonts w:ascii="Arial" w:cs="Arial" w:eastAsia="Arial" w:hAnsi="Arial"/>
          <w:sz w:val="22"/>
          <w:szCs w:val="22"/>
        </w:rPr>
        <w:t xml:space="preserve">8. Relationship to Other Operational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OG</w:t>
            </w:r>
          </w:p>
        </w:tc>
        <w:tc>
          <w:tcPr>
            <w:tcW w:type="dxa" w:w="3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Title</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Relationship to OG-005</w:t>
            </w:r>
          </w:p>
        </w:tc>
      </w:tr>
      <w:tr>
        <w:tc>
          <w:tcPr>
            <w:tcW w:type="dxa" w:w="14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OG-001</w:t>
            </w:r>
          </w:p>
        </w:tc>
        <w:tc>
          <w:tcPr>
            <w:tcW w:type="dxa" w:w="34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Classification of What Indicators</w:t>
            </w:r>
          </w:p>
        </w:tc>
        <w:tc>
          <w:tcPr>
            <w:tcW w:type="dxa" w:w="456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Defines the 415-node hierarchy that feeds component estimation. OG-005 governs what the public sees after the hierarchy produces results.</w:t>
            </w:r>
          </w:p>
        </w:tc>
      </w:tr>
      <w:tr>
        <w:tc>
          <w:tcPr>
            <w:tcW w:type="dxa" w:w="14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OG-002</w:t>
            </w:r>
          </w:p>
        </w:tc>
        <w:tc>
          <w:tcPr>
            <w:tcW w:type="dxa" w:w="34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Commonwealth Balance Sheet Compilation</w:t>
            </w:r>
          </w:p>
        </w:tc>
        <w:tc>
          <w:tcPr>
            <w:tcW w:type="dxa" w:w="456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The twelve-step build process. OG-005 adds the titration steps (7.1–7.5) that convert build outputs to publication form.</w:t>
            </w:r>
          </w:p>
        </w:tc>
      </w:tr>
      <w:tr>
        <w:tc>
          <w:tcPr>
            <w:tcW w:type="dxa" w:w="14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OG-004</w:t>
            </w:r>
          </w:p>
        </w:tc>
        <w:tc>
          <w:tcPr>
            <w:tcW w:type="dxa" w:w="34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PPP Conversion Protocols</w:t>
            </w:r>
          </w:p>
        </w:tc>
        <w:tc>
          <w:tcPr>
            <w:tcW w:type="dxa" w:w="456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Establishes Atlas as primary over PPP. OG-005 extends this to establish current prices as primary over any deflation, including Törnqvist.</w:t>
            </w:r>
          </w:p>
        </w:tc>
      </w:tr>
      <w:tr>
        <w:tc>
          <w:tcPr>
            <w:tcW w:type="dxa" w:w="14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OG-Law</w:t>
            </w:r>
          </w:p>
        </w:tc>
        <w:tc>
          <w:tcPr>
            <w:tcW w:type="dxa" w:w="340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Law and Economics Interface</w:t>
            </w:r>
          </w:p>
        </w:tc>
        <w:tc>
          <w:tcPr>
            <w:tcW w:type="dxa" w:w="4560"/>
            <w:tcBorders>
              <w:top w:val="single" w:color="2E75B6" w:sz="1"/>
              <w:left w:val="single" w:color="2E75B6" w:sz="1"/>
              <w:bottom w:val="single" w:color="2E75B6" w:sz="1"/>
              <w:right w:val="single" w:color="2E75B6" w:sz="1"/>
            </w:tcBorders>
            <w:tcMar>
              <w:top w:type="dxa" w:w="60"/>
              <w:left w:type="dxa" w:w="100"/>
              <w:bottom w:type="dxa" w:w="60"/>
              <w:right w:type="dxa" w:w="100"/>
            </w:tcMar>
          </w:tcPr>
          <w:p>
            <w:pPr>
              <w:spacing w:after="40"/>
            </w:pPr>
            <w:r>
              <w:rPr>
                <w:rFonts w:ascii="Arial" w:cs="Arial" w:eastAsia="Arial" w:hAnsi="Arial"/>
                <w:sz w:val="20"/>
                <w:szCs w:val="20"/>
              </w:rPr>
              <w:t xml:space="preserve">Provides the Hohfeld/claim-rights framework for NC classification. OG-005 connects to the BLS/BEA distinction as a parallel conceptual choice.</w:t>
            </w:r>
          </w:p>
        </w:tc>
      </w:tr>
    </w:tbl>
    <w:p>
      <w:pPr>
        <w:spacing w:after="120" w:before="0" w:line="276"/>
      </w:pPr>
      <w:r>
        <w:rPr>
          <w:rFonts w:ascii="Arial" w:cs="Arial" w:eastAsia="Arial" w:hAnsi="Arial"/>
          <w:sz w:val="22"/>
          <w:szCs w:val="22"/>
        </w:rPr>
        <w:t xml:space="preserve"/>
      </w:r>
    </w:p>
    <w:p>
      <w:pPr>
        <w:pStyle w:val="Heading1"/>
        <w:spacing w:after="160" w:before="0" w:line="276"/>
      </w:pPr>
      <w:r>
        <w:rPr>
          <w:rFonts w:ascii="Arial" w:cs="Arial" w:eastAsia="Arial" w:hAnsi="Arial"/>
          <w:sz w:val="22"/>
          <w:szCs w:val="22"/>
        </w:rPr>
        <w:t xml:space="preserve">9. Statements of Exception</w:t>
      </w:r>
    </w:p>
    <w:p>
      <w:pPr>
        <w:spacing w:after="160" w:before="0" w:line="276"/>
      </w:pPr>
      <w:r>
        <w:rPr>
          <w:rFonts w:ascii="Arial" w:cs="Arial" w:eastAsia="Arial" w:hAnsi="Arial"/>
          <w:sz w:val="22"/>
          <w:szCs w:val="22"/>
        </w:rPr>
        <w:t xml:space="preserve">SOE-005.1: </w:t>
      </w:r>
      <w:r>
        <w:rPr>
          <w:rFonts w:ascii="Arial" w:cs="Arial" w:eastAsia="Arial" w:hAnsi="Arial"/>
          <w:b/>
          <w:bCs/>
          <w:sz w:val="22"/>
          <w:szCs w:val="22"/>
        </w:rPr>
        <w:t xml:space="preserve">We do not publish annual values. </w:t>
      </w:r>
      <w:r>
        <w:rPr>
          <w:rFonts w:ascii="Arial" w:cs="Arial" w:eastAsia="Arial" w:hAnsi="Arial"/>
          <w:sz w:val="22"/>
          <w:szCs w:val="22"/>
        </w:rPr>
        <w:t xml:space="preserve">Annual observations are the unit of observation but not the unit of analysis. Quinquennial publication smooths commodity-cycle and exchange-rate volatility without parametric filters, and—equally important—prevents misuse in annual panel econometrics that substitutes precision-seeking for policy judgment. Exception: the restricted replicability packet contains annual series for collaborator use under documented conditions.</w:t>
      </w:r>
    </w:p>
    <w:p>
      <w:pPr>
        <w:spacing w:after="160" w:before="0" w:line="276"/>
      </w:pPr>
      <w:r>
        <w:rPr>
          <w:rFonts w:ascii="Arial" w:cs="Arial" w:eastAsia="Arial" w:hAnsi="Arial"/>
          <w:sz w:val="22"/>
          <w:szCs w:val="22"/>
        </w:rPr>
        <w:t xml:space="preserve">SOE-005.2: </w:t>
      </w:r>
      <w:r>
        <w:rPr>
          <w:rFonts w:ascii="Arial" w:cs="Arial" w:eastAsia="Arial" w:hAnsi="Arial"/>
          <w:b/>
          <w:bCs/>
          <w:sz w:val="22"/>
          <w:szCs w:val="22"/>
        </w:rPr>
        <w:t xml:space="preserve">We do not publish constant-price series. </w:t>
      </w:r>
      <w:r>
        <w:rPr>
          <w:rFonts w:ascii="Arial" w:cs="Arial" w:eastAsia="Arial" w:hAnsi="Arial"/>
          <w:sz w:val="22"/>
          <w:szCs w:val="22"/>
        </w:rPr>
        <w:t xml:space="preserve">Deflated or volume-indexed series are available on request but are not the primary output. Researchers requiring real analysis should use the component-level FAND workbooks, which contain physical quantities (Q, R) alongside values.</w:t>
      </w:r>
    </w:p>
    <w:p>
      <w:pPr>
        <w:spacing w:after="160" w:before="0" w:line="276"/>
      </w:pPr>
      <w:r>
        <w:rPr>
          <w:rFonts w:ascii="Arial" w:cs="Arial" w:eastAsia="Arial" w:hAnsi="Arial"/>
          <w:sz w:val="22"/>
          <w:szCs w:val="22"/>
        </w:rPr>
        <w:t xml:space="preserve">SOE-005.3: </w:t>
      </w:r>
      <w:r>
        <w:rPr>
          <w:rFonts w:ascii="Arial" w:cs="Arial" w:eastAsia="Arial" w:hAnsi="Arial"/>
          <w:b/>
          <w:bCs/>
          <w:sz w:val="22"/>
          <w:szCs w:val="22"/>
        </w:rPr>
        <w:t xml:space="preserve">We do not publish component-level dollar values. </w:t>
      </w:r>
      <w:r>
        <w:rPr>
          <w:rFonts w:ascii="Arial" w:cs="Arial" w:eastAsia="Arial" w:hAnsi="Arial"/>
          <w:sz w:val="22"/>
          <w:szCs w:val="22"/>
        </w:rPr>
        <w:t xml:space="preserve">The SI/CW share is published; the HR, PA, NC dollar values are not. This preserves the proprietary value of the compilation methodology while delivering the policy-relevant signal (how much of this country’s wealth is institutional capital?).</w:t>
      </w:r>
    </w:p>
    <w:p>
      <w:pPr>
        <w:spacing w:after="160" w:before="0" w:line="276"/>
      </w:pPr>
      <w:r>
        <w:rPr>
          <w:rFonts w:ascii="Arial" w:cs="Arial" w:eastAsia="Arial" w:hAnsi="Arial"/>
          <w:sz w:val="22"/>
          <w:szCs w:val="22"/>
        </w:rPr>
        <w:t xml:space="preserve">SOE-005.4: </w:t>
      </w:r>
      <w:r>
        <w:rPr>
          <w:rFonts w:ascii="Arial" w:cs="Arial" w:eastAsia="Arial" w:hAnsi="Arial"/>
          <w:b/>
          <w:bCs/>
          <w:sz w:val="22"/>
          <w:szCs w:val="22"/>
        </w:rPr>
        <w:t xml:space="preserve">We do not provide country-level reconciliation with CWoN. </w:t>
      </w:r>
      <w:r>
        <w:rPr>
          <w:rFonts w:ascii="Arial" w:cs="Arial" w:eastAsia="Arial" w:hAnsi="Arial"/>
          <w:sz w:val="22"/>
          <w:szCs w:val="22"/>
        </w:rPr>
        <w:t xml:space="preserve">The CWoN cross-validation is an internal quality-assurance step (validation step 5 above). Publishing it would invite line-by-line methodological debate that obscures the policy signal. The cross-validation is documented in the replicability packet.</w:t>
      </w:r>
    </w:p>
    <w:p>
      <w:pPr>
        <w:spacing w:after="160" w:before="0" w:line="276"/>
      </w:pPr>
      <w:r>
        <w:rPr>
          <w:rFonts w:ascii="Arial" w:cs="Arial" w:eastAsia="Arial" w:hAnsi="Arial"/>
          <w:sz w:val="22"/>
          <w:szCs w:val="22"/>
        </w:rPr>
        <w:t xml:space="preserve">SOE-005.5: </w:t>
      </w:r>
      <w:r>
        <w:rPr>
          <w:rFonts w:ascii="Arial" w:cs="Arial" w:eastAsia="Arial" w:hAnsi="Arial"/>
          <w:b/>
          <w:bCs/>
          <w:sz w:val="22"/>
          <w:szCs w:val="22"/>
        </w:rPr>
        <w:t xml:space="preserve">We publish the US$ denominator but not annual detail. </w:t>
      </w:r>
      <w:r>
        <w:rPr>
          <w:rFonts w:ascii="Arial" w:cs="Arial" w:eastAsia="Arial" w:hAnsi="Arial"/>
          <w:sz w:val="22"/>
          <w:szCs w:val="22"/>
        </w:rPr>
        <w:t xml:space="preserve">The US per-capita CW value at each quinquennium is published, making the index invertible to dollar values at quinquennial resolution. This controlled reversibility is intentional: it ensures transparency of the denominator while preventing the annual-resolution data from being treated as a substitute for access to the full replicability packet. Users wanting annual resolution, component decomposition, or econometric-ready panels must negotiate restricted access.</w:t>
      </w:r>
    </w:p>
    <w:p>
      <w:pPr>
        <w:pStyle w:val="Heading1"/>
        <w:spacing w:after="160" w:before="0" w:line="276"/>
      </w:pPr>
      <w:r>
        <w:rPr>
          <w:rFonts w:ascii="Arial" w:cs="Arial" w:eastAsia="Arial" w:hAnsi="Arial"/>
          <w:sz w:val="22"/>
          <w:szCs w:val="22"/>
        </w:rPr>
        <w:t xml:space="preserve">10. Record and Provenance</w:t>
      </w:r>
    </w:p>
    <w:p>
      <w:pPr>
        <w:spacing w:after="160" w:before="0" w:line="276"/>
      </w:pPr>
      <w:r>
        <w:rPr>
          <w:rFonts w:ascii="Arial" w:cs="Arial" w:eastAsia="Arial" w:hAnsi="Arial"/>
          <w:sz w:val="22"/>
          <w:szCs w:val="22"/>
        </w:rPr>
        <w:t xml:space="preserve">This Guideline records John O’Connor’s long-standing position that the MEP balance sheet was designed as a financial intermediary’s tool, not an academic wealth-accounting exercise. The BLS productive-stock interpretation, the current-price primacy principle, and the titration protocol all flow from this original design intent. They are not innovations; they are the recovery of a purpose that was progressively displaced as CWoN evolved from the MEP’s DSS orientation toward a pure national-accounts wealth estimation.</w:t>
      </w:r>
    </w:p>
    <w:p>
      <w:pPr>
        <w:spacing w:after="160" w:before="0" w:line="276"/>
      </w:pPr>
      <w:r>
        <w:rPr>
          <w:rFonts w:ascii="Arial" w:cs="Arial" w:eastAsia="Arial" w:hAnsi="Arial"/>
          <w:sz w:val="22"/>
          <w:szCs w:val="22"/>
        </w:rPr>
        <w:t xml:space="preserve">Version 1.1 adds three elements from the 17 March 2026 session: (a) the controlled-reversibility protocol for the US$ denominator, recording the deliberate choice to make quinquennial dollar values recoverable while withholding annual detail as a guard against econometric misuse; (b) the subnational imperative, grounded in the US county-level wealth accounting architecture that predates and informs the FAND design; and (c) the Bretton Woods moral hazard argument, drawing on Hulten &amp; Reinsdorf (2014) to document the institutional risk of relying on accounting frameworks that misrepresent financial intermediation—the very activity the Bank and Fund exist to perform.</w:t>
      </w:r>
    </w:p>
    <w:p>
      <w:pPr>
        <w:spacing w:after="160" w:before="0" w:line="276"/>
      </w:pPr>
      <w:r>
        <w:rPr>
          <w:rFonts w:ascii="Arial" w:cs="Arial" w:eastAsia="Arial" w:hAnsi="Arial"/>
          <w:sz w:val="22"/>
          <w:szCs w:val="22"/>
        </w:rPr>
        <w:t xml:space="preserve">The argument remains emphatically </w:t>
      </w:r>
      <w:r>
        <w:rPr>
          <w:rFonts w:ascii="Arial" w:cs="Arial" w:eastAsia="Arial" w:hAnsi="Arial"/>
          <w:i/>
          <w:iCs/>
          <w:sz w:val="22"/>
          <w:szCs w:val="22"/>
        </w:rPr>
        <w:t xml:space="preserve">not</w:t>
      </w:r>
      <w:r>
        <w:rPr>
          <w:rFonts w:ascii="Arial" w:cs="Arial" w:eastAsia="Arial" w:hAnsi="Arial"/>
          <w:sz w:val="22"/>
          <w:szCs w:val="22"/>
        </w:rPr>
        <w:t xml:space="preserve"> that CWoN is wrong, or that the Bank’s statistical capacity is deficient. CWoN’s three-asset estimation is rigorous, reproducible, and valuable. The Bank’s data infrastructure is unmatched. The argument is that the Bank’s decision-support needs—and its institutional obligations as a financial intermediary—require (a) a fourth asset row (SI), (b) a liability column, (c) current-dollar primacy, (d) a publication form calibrated to the policy audience, (e) subnational applicability, and (f) honest engagement with the accounting framework’s treatment of financial intermediation. OG-005 governs how OconEco delivers all six.</w:t>
      </w:r>
    </w:p>
    <w:p>
      <w:pPr>
        <w:spacing w:after="160" w:before="400" w:line="276"/>
      </w:pPr>
      <w:r>
        <w:rPr>
          <w:rFonts w:ascii="Arial" w:cs="Arial" w:eastAsia="Arial" w:hAnsi="Arial"/>
          <w:i/>
          <w:iCs/>
          <w:color w:val="808080"/>
          <w:sz w:val="20"/>
          <w:szCs w:val="20"/>
        </w:rPr>
        <w:t xml:space="preserve">Filed: C_Technical/Guidelines/OG-005_Current_Price_Primacy_and_Titration.docx</w:t>
      </w:r>
    </w:p>
    <w:p>
      <w:pPr>
        <w:spacing w:after="160" w:before="0" w:line="276"/>
      </w:pPr>
      <w:r>
        <w:rPr>
          <w:rFonts w:ascii="Arial" w:cs="Arial" w:eastAsia="Arial" w:hAnsi="Arial"/>
          <w:i/>
          <w:iCs/>
          <w:color w:val="808080"/>
          <w:sz w:val="20"/>
          <w:szCs w:val="20"/>
        </w:rPr>
        <w:t xml:space="preserve">Cross-references: OG-002, OG-004, OG-Law, Briefing_TakeOff_Graduation_Commensuration.md, Hulten &amp; Reinsdorf (NBER WP 2014-6), Wealth US Counties Sept 2025, SESSION_END_20260317.md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jc w:val="right"/>
    </w:pPr>
    <w:r>
      <w:rPr>
        <w:rFonts w:ascii="Arial" w:cs="Arial" w:eastAsia="Arial" w:hAnsi="Arial"/>
        <w:color w:val="808080"/>
        <w:sz w:val="16"/>
        <w:szCs w:val="16"/>
      </w:rPr>
      <w:t xml:space="preserve">OG-005 v1.1 — 17 March 2026</w:t>
    </w:r>
    <w:r>
      <w:rPr>
        <w:rFonts w:ascii="Arial" w:cs="Arial" w:eastAsia="Arial" w:hAnsi="Arial"/>
        <w:sz w:val="22"/>
        <w:szCs w:val="22"/>
      </w:rPr>
      <w:t xml:space="preserve">	</w:t>
    </w: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08080"/>
        <w:sz w:val="18"/>
        <w:szCs w:val="18"/>
      </w:rPr>
      <w:t xml:space="preserve">OconEco Operational Guideline OG-005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2026-03-17T15:06:52.580Z</dcterms:created>
  <dcterms:modified xsi:type="dcterms:W3CDTF">2026-03-17T15:06:52.580Z</dcterms:modified>
</cp:coreProperties>
</file>

<file path=docProps/custom.xml><?xml version="1.0" encoding="utf-8"?>
<Properties xmlns="http://schemas.openxmlformats.org/officeDocument/2006/custom-properties" xmlns:vt="http://schemas.openxmlformats.org/officeDocument/2006/docPropsVTypes"/>
</file>