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Arial" w:cs="Arial" w:eastAsia="Arial" w:hAnsi="Arial"/>
          <w:b/>
          <w:bCs/>
          <w:color w:val="1F3864"/>
          <w:sz w:val="40"/>
          <w:szCs w:val="40"/>
        </w:rPr>
        <w:t xml:space="preserve">OG-006</w:t>
      </w:r>
    </w:p>
    <w:p>
      <w:pPr>
        <w:spacing w:after="400"/>
        <w:jc w:val="center"/>
      </w:pPr>
      <w:r>
        <w:rPr>
          <w:rFonts w:ascii="Arial" w:cs="Arial" w:eastAsia="Arial" w:hAnsi="Arial"/>
          <w:color w:val="2E5090"/>
          <w:sz w:val="28"/>
          <w:szCs w:val="28"/>
        </w:rPr>
        <w:t xml:space="preserve">Intragenerational Liability Architecture
and the Principle of Identified Ambivalence</w:t>
      </w:r>
    </w:p>
    <w:p>
      <w:pPr>
        <w:spacing w:after="80"/>
        <w:jc w:val="center"/>
      </w:pPr>
      <w:r>
        <w:rPr>
          <w:color w:val="666666"/>
          <w:sz w:val="22"/>
          <w:szCs w:val="22"/>
        </w:rPr>
        <w:t xml:space="preserve">Version 1.0 — 18 March 2026</w:t>
      </w:r>
    </w:p>
    <w:p>
      <w:pPr>
        <w:spacing w:after="80"/>
        <w:jc w:val="center"/>
      </w:pPr>
      <w:r>
        <w:rPr>
          <w:color w:val="666666"/>
          <w:sz w:val="22"/>
          <w:szCs w:val="22"/>
        </w:rPr>
        <w:t xml:space="preserve">Classification: C_Technical/Guidelines</w:t>
      </w:r>
    </w:p>
    <w:p>
      <w:pPr>
        <w:spacing w:after="200"/>
        <w:jc w:val="center"/>
      </w:pPr>
      <w:r>
        <w:rPr>
          <w:i/>
          <w:iCs/>
          <w:color w:val="999999"/>
          <w:sz w:val="22"/>
          <w:szCs w:val="22"/>
        </w:rPr>
        <w:t xml:space="preserve">Status: Draft for Gemini Ultra Review</w:t>
      </w:r>
    </w:p>
    <w:p>
      <w:pPr>
        <w:spacing w:after="120" w:line="276"/>
      </w:pPr>
      <w:r>
        <w:rPr>
          <w:i/>
          <w:iCs/>
          <w:color w:val="555555"/>
        </w:rPr>
        <w:t xml:space="preserve">This document records the analytical journey from UNDP’s HDI composite to a component-based intragenerational liability (L_INTRA) for the OconEco Commonwealth balance sheet. It captures the decision architecture, the close-call alternatives, and establishes the principle of “identified ambivalence”: documenting what we chose, what we nearly chose, and why—so that future refinements can be made without re-deriving the entire decision tree.</w:t>
      </w:r>
    </w:p>
    <w:p>
      <w:pPr>
        <w:spacing w:after="120" w:line="276"/>
      </w:pPr>
      <w:r>
        <w:rPr>
          <w:i/>
          <w:iCs/>
          <w:color w:val="555555"/>
        </w:rPr>
        <w:t xml:space="preserve">This document is formatted for review by Gemini Ultra as part of the Claude–Gemini inter-AI collaboration protocol (Annex A).</w:t>
      </w:r>
    </w:p>
    <w:p>
      <w:r>
        <w:br w:type="page"/>
      </w:r>
    </w:p>
    <w:p>
      <w:pPr>
        <w:pStyle w:val="Heading1"/>
      </w:pPr>
      <w:r>
        <w:t xml:space="preserve">Part A: What Led Us Here</w:t>
      </w:r>
    </w:p>
    <w:p>
      <w:pPr>
        <w:pStyle w:val="Heading2"/>
      </w:pPr>
      <w:r>
        <w:t xml:space="preserve">A.1 The HDI Rejection</w:t>
      </w:r>
    </w:p>
    <w:p>
      <w:pPr>
        <w:spacing w:after="120" w:line="276"/>
      </w:pPr>
      <w:r>
        <w:t xml:space="preserve">The initial Liability Framework prototype (v1, Session 9, March 17 2026) used UNDP’s IHDI loss percentage as the basis for L_Inequality: </w:t>
      </w:r>
      <w:r>
        <w:rPr>
          <w:i/>
          <w:iCs/>
        </w:rPr>
        <w:t xml:space="preserve">L_Inequality = IHDI_loss% × CW</w:t>
      </w:r>
      <w:r>
        <w:t xml:space="preserve">. This was operationally convenient—IHDI is available for 206 countries from 2010—but analytically indefensible.</w:t>
      </w:r>
    </w:p>
    <w:p>
      <w:pPr>
        <w:spacing w:after="120" w:line="276"/>
      </w:pPr>
      <w:r>
        <w:t xml:space="preserve">The IHDI is the “inequality-adjusted” version of the Human Development Index. But HDI itself is a composite of three dimensions (Life Expectancy, Educational Attainment, GNI per capita) with equal weighting. That equal weighting was a deliberate advocacy design, not a measurement choice.</w:t>
      </w:r>
      <w:r>
        <w:rPr>
          <w:rStyle w:val="FootnoteReference"/>
        </w:rPr>
        <w:footnoteReference w:id="1"/>
      </w:r>
      <w:r>
        <w:t xml:space="preserve"> The IHDI compounds this by applying Atkinson inequality adjustments to each dimension separately, then re-averaging. The resulting loss% conflates gender inequality with general income distribution inequality with health inequality, all filtered through an arbitrary weighting scheme.</w:t>
      </w:r>
    </w:p>
    <w:p>
      <w:pPr>
        <w:spacing w:after="120" w:line="276"/>
      </w:pPr>
      <w:r>
        <w:t xml:space="preserve">For a balance sheet that aims to make the components of wealth visible and accountable, using the HDI composite destroys exactly the signal we need. It is, as the principal architect of this project put it, “pure noise as a policy signal.” The components used individually, however, are measurement gold.</w:t>
      </w:r>
    </w:p>
    <w:p>
      <w:pPr>
        <w:pStyle w:val="Heading2"/>
      </w:pPr>
      <w:r>
        <w:t xml:space="preserve">A.2 The Component Decomposition</w:t>
      </w:r>
    </w:p>
    <w:p>
      <w:pPr>
        <w:spacing w:after="120" w:line="276"/>
      </w:pPr>
      <w:r>
        <w:t xml:space="preserve">UNDP HDR25 provides the individual components that HDI composites into noise, all disaggregated by sex, 1990–2023, for 206 countries:</w:t>
      </w:r>
    </w:p>
    <w:p>
      <w:pPr>
        <w:pStyle w:val="ListParagraph"/>
        <w:numPr>
          <w:ilvl w:val="0"/>
          <w:numId w:val="2"/>
        </w:numPr>
        <w:spacing w:after="80"/>
      </w:pPr>
      <w:r>
        <w:rPr>
          <w:b/>
          <w:bCs/>
        </w:rPr>
        <w:t xml:space="preserve">Life Expectancy (le_f, le_m): </w:t>
      </w:r>
      <w:r>
        <w:t xml:space="preserve">Gender gap in longevity. Women outlive men almost everywhere (gap typically 3–7 years). Reflects differential health investment and biological factors.</w:t>
      </w:r>
    </w:p>
    <w:p>
      <w:pPr>
        <w:pStyle w:val="ListParagraph"/>
        <w:numPr>
          <w:ilvl w:val="0"/>
          <w:numId w:val="2"/>
        </w:numPr>
        <w:spacing w:after="80"/>
      </w:pPr>
      <w:r>
        <w:rPr>
          <w:b/>
          <w:bCs/>
        </w:rPr>
        <w:t xml:space="preserve">Mean Years of Schooling (mys_f, mys_m): </w:t>
      </w:r>
      <w:r>
        <w:t xml:space="preserve">Gender gap in educational attainment. Direction varies: women ahead in USA/BRA, men ahead in IND/NGA/CHN. Reflects differential human capital formation.</w:t>
      </w:r>
    </w:p>
    <w:p>
      <w:pPr>
        <w:pStyle w:val="ListParagraph"/>
        <w:numPr>
          <w:ilvl w:val="0"/>
          <w:numId w:val="2"/>
        </w:numPr>
        <w:spacing w:after="80"/>
      </w:pPr>
      <w:r>
        <w:rPr>
          <w:b/>
          <w:bCs/>
        </w:rPr>
        <w:t xml:space="preserve">GNI per capita by sex (gni_pc_f, gni_pc_m): </w:t>
      </w:r>
      <w:r>
        <w:t xml:space="preserve">Gender income gap. In India, men earn 2.2× women (GNI ratio 1.19). In Nigeria, 1.3×. In USA, 1.5×. This subsumes LFPR effects—women who don’t participate in the labor force have zero earnings, pulling down female GNI.</w:t>
      </w:r>
    </w:p>
    <w:p>
      <w:pPr>
        <w:spacing w:after="120" w:line="276"/>
      </w:pPr>
      <w:r>
        <w:t xml:space="preserve">Testing these three components as sub-liabilities under L_INTRA on a 5-country prototype (USA, CHN, IND, BRA, NGA) for 1995–2020 yielded analytically transparent results. GNI gap dominates (66–87% of L_INTRA). EdAtt matters where it’s large (Nigeria 33%, China 15%). LE gap is significant only for the USA (12%—the American male life expectancy deficit).</w:t>
      </w:r>
    </w:p>
    <w:p>
      <w:pPr>
        <w:pStyle w:val="Heading2"/>
      </w:pPr>
      <w:r>
        <w:t xml:space="preserve">A.3 What the Component Approach Revealed</w:t>
      </w:r>
    </w:p>
    <w:p>
      <w:pPr>
        <w:spacing w:after="120" w:line="276"/>
      </w:pPr>
      <w:r>
        <w:t xml:space="preserve">Critically, the component-based L_INTRA diverged from the IHDI-based version in exactly the right direction:</w:t>
      </w:r>
    </w:p>
    <w:p>
      <w:pPr>
        <w:pStyle w:val="ListParagraph"/>
        <w:numPr>
          <w:ilvl w:val="0"/>
          <w:numId w:val="2"/>
        </w:numPr>
        <w:spacing w:after="80"/>
      </w:pPr>
      <w:r>
        <w:rPr>
          <w:b/>
          <w:bCs/>
        </w:rPr>
        <w:t xml:space="preserve">USA and CHN: Δ &lt; 5%. </w:t>
      </w:r>
      <w:r>
        <w:t xml:space="preserve">Validates the approach. For these countries, IHDI loss% happened to approximate the gender component gaps—accidentally correct.</w:t>
      </w:r>
    </w:p>
    <w:p>
      <w:pPr>
        <w:pStyle w:val="ListParagraph"/>
        <w:numPr>
          <w:ilvl w:val="0"/>
          <w:numId w:val="2"/>
        </w:numPr>
        <w:spacing w:after="80"/>
      </w:pPr>
      <w:r>
        <w:rPr>
          <w:b/>
          <w:bCs/>
        </w:rPr>
        <w:t xml:space="preserve">BRA: L_INTRA drops 25%. </w:t>
      </w:r>
      <w:r>
        <w:t xml:space="preserve">The old IHDI method conflated gender inequality with Brazil’s extreme income distribution inequality (Gini ~0.53). The component method isolates what’s actually attributable to gender.</w:t>
      </w:r>
    </w:p>
    <w:p>
      <w:pPr>
        <w:pStyle w:val="ListParagraph"/>
        <w:numPr>
          <w:ilvl w:val="0"/>
          <w:numId w:val="2"/>
        </w:numPr>
        <w:spacing w:after="80"/>
      </w:pPr>
      <w:r>
        <w:rPr>
          <w:b/>
          <w:bCs/>
        </w:rPr>
        <w:t xml:space="preserve">NGA: L_INTRA drops 51%. </w:t>
      </w:r>
      <w:r>
        <w:t xml:space="preserve">Same effect, more dramatic. Nigeria’s IHDI loss was heavily driven by non-gender inequality that our component gaps correctly exclude.</w:t>
      </w:r>
    </w:p>
    <w:p>
      <w:pPr>
        <w:spacing w:after="120" w:line="276"/>
      </w:pPr>
      <w:r>
        <w:t xml:space="preserve">This divergence raised the architectural question: should L_INTRA capture only gender inequality, or also broader within-population inequality? The gender components are clean, transparent, and cover 1990–2023. But they miss the Gini-type distributional story that IHDI was (crudely) capturing.</w:t>
      </w:r>
    </w:p>
    <w:p>
      <w:pPr>
        <w:pStyle w:val="Heading2"/>
      </w:pPr>
      <w:r>
        <w:t xml:space="preserve">A.4 The Inter-AI Exchange</w:t>
      </w:r>
    </w:p>
    <w:p>
      <w:pPr>
        <w:spacing w:after="120" w:line="276"/>
      </w:pPr>
      <w:r>
        <w:t xml:space="preserve">This question triggered a structured research exchange between Claude (the project’s primary computational architect) and Gemini Ultra (the project’s research collaborator). The exchange followed the inter-AI collaboration protocol (Annex A) in which Claude drafts targeted research prompts, the human principal (John O’Connor) passes them to Gemini, and Gemini’s responses are assessed by Claude for incorporation.</w:t>
      </w:r>
    </w:p>
    <w:p>
      <w:pPr>
        <w:spacing w:after="120" w:line="276"/>
      </w:pPr>
      <w:r>
        <w:t xml:space="preserve">The prompt asked Gemini to evaluate 10 candidate sources for a country-level inequality time series with ≥100 countries back to 1995. Gemini’s response identified the WIID Companion (UNU-WIDER, April 2025 release) as the primary recommendation—a harmonized annual panel of 202 countries through 2023 with both Gini and Atkinson ε=1, standardized to net/disposable income. Gemini further recommended Atkinson ε=1 over Gini as the functional form driver, citing its cleaner normative link to welfare loss via the Sen-Atkinson tradition.</w:t>
      </w:r>
    </w:p>
    <w:p>
      <w:r>
        <w:br w:type="page"/>
      </w:r>
    </w:p>
    <w:p>
      <w:pPr>
        <w:pStyle w:val="Heading1"/>
      </w:pPr>
      <w:r>
        <w:t xml:space="preserve">Part B: How This Sharpened Our Perspective</w:t>
      </w:r>
    </w:p>
    <w:p>
      <w:pPr>
        <w:pStyle w:val="Heading2"/>
      </w:pPr>
      <w:r>
        <w:t xml:space="preserve">B.1 The Measurement Landscape Has Moved Far Beyond HDI</w:t>
      </w:r>
    </w:p>
    <w:p>
      <w:pPr>
        <w:spacing w:after="120" w:line="276"/>
      </w:pPr>
      <w:r>
        <w:t xml:space="preserve">The exchange revealed that the inequality measurement field has undergone a quiet revolution since 2020. The April 2025 release of the WIID Companion represents a generational shift: from curated collections of point estimates requiring ad hoc interpolation, to a harmonized annual panel where commensurability is engineered in. This supersedes GCIP, All the Ginis, and most of the older splice approaches.</w:t>
      </w:r>
    </w:p>
    <w:p>
      <w:pPr>
        <w:spacing w:after="120" w:line="276"/>
      </w:pPr>
      <w:r>
        <w:t xml:space="preserve">For OconEco’s purposes, this means the data infrastructure now exists to do what we need. The constraint is no longer data availability—it’s analytical architecture. Specifically: how to wire an inequality index into a balance sheet liability in a way that is theoretically defensible, empirically tractable, and commensurable across countries and time.</w:t>
      </w:r>
    </w:p>
    <w:p>
      <w:pPr>
        <w:pStyle w:val="Heading2"/>
      </w:pPr>
      <w:r>
        <w:t xml:space="preserve">B.2 The Atkinson Welfare Function Maps Directly to Our Balance Sheet</w:t>
      </w:r>
    </w:p>
    <w:p>
      <w:pPr>
        <w:spacing w:after="120" w:line="276"/>
      </w:pPr>
      <w:r>
        <w:t xml:space="preserve">The Sen-Atkinson social welfare function W = μ(1 − I), where μ is mean income and I is the inequality index, maps directly onto the Commonwealth balance sheet identity. If CW is μ (mean Commonwealth per capita) and I is Atkinson ε=1, then L_Distribution = I × CW is “the Commonwealth lost to inequality.”</w:t>
      </w:r>
      <w:r>
        <w:rPr>
          <w:rStyle w:val="FootnoteReference"/>
        </w:rPr>
        <w:footnoteReference w:id="2"/>
      </w:r>
      <w:r>
        <w:t xml:space="preserve"> This is not an arbitrary functional form—it is the Atkinson welfare function applied to our balance sheet. The “Equally Distributed Equivalent” (EDE) income is CW × (1 − I): the income that, if distributed equally, would yield the same social welfare as the actual distribution.</w:t>
      </w:r>
    </w:p>
    <w:p>
      <w:pPr>
        <w:spacing w:after="120" w:line="276"/>
      </w:pPr>
      <w:r>
        <w:t xml:space="preserve">This gives L_Distribution a normative foundation that L_Gender (from LFPR/GNI gaps) lacks. The gender liability is an empirical observation about who earns what; the distributional liability is a welfare judgment about how inequality destroys collective value. Both belong on the balance sheet, but they are different kinds of claim.</w:t>
      </w:r>
    </w:p>
    <w:p>
      <w:pPr>
        <w:pStyle w:val="Heading2"/>
      </w:pPr>
      <w:r>
        <w:t xml:space="preserve">B.3 The Synaptic Framework Gains Empirical Traction</w:t>
      </w:r>
    </w:p>
    <w:p>
      <w:pPr>
        <w:spacing w:after="120" w:line="276"/>
      </w:pPr>
      <w:r>
        <w:t xml:space="preserve">The threshold question—whether to penalize all inequality or only inequality above a structural minimum—maps precisely to the excitatory/inhibitory synapse distinction.</w:t>
      </w:r>
      <w:r>
        <w:rPr>
          <w:rStyle w:val="FootnoteReference"/>
        </w:rPr>
        <w:footnoteReference w:id="3"/>
      </w:r>
      <w:r>
        <w:t xml:space="preserve"> Some inequality is excitatory: it provides incentives for effort, innovation, and risk-taking that increase the Commonwealth. Above some threshold, inequality becomes inhibitory: it concentrates resources in ways that reduce social welfare, undermine institutional trust, and suppress the “silent synapses” (latent institutional capacity) that Chetty’s neighborhood effects have shown to be causally important. The functional form of L_Distribution encodes a judgment about where excitation tips into inhibition.</w:t>
      </w:r>
    </w:p>
    <w:p>
      <w:pPr>
        <w:spacing w:after="120" w:line="276"/>
      </w:pPr>
      <w:r>
        <w:t xml:space="preserve">We chose to defer the threshold decision: start with the simple proportional form (L = Atkinson × CW) for the production run, then test whether a convex form (accelerating liability above a structural minimum) better fits the empirical distribution. This is identified ambivalence—we know the choice matters, we know the alternatives, and we’ve documented why we’re proceeding as we are.</w:t>
      </w:r>
    </w:p>
    <w:p>
      <w:r>
        <w:br w:type="page"/>
      </w:r>
    </w:p>
    <w:p>
      <w:pPr>
        <w:pStyle w:val="Heading1"/>
      </w:pPr>
      <w:r>
        <w:t xml:space="preserve">Part C: Decision Register — Choices, Close Calls, and Identified Ambivalence</w:t>
      </w:r>
    </w:p>
    <w:p>
      <w:pPr>
        <w:spacing w:after="120" w:line="276"/>
      </w:pPr>
      <w:r>
        <w:rPr>
          <w:i/>
          <w:iCs/>
          <w:color w:val="555555"/>
        </w:rPr>
        <w:t xml:space="preserve">Each decision is recorded with: what we chose, what we nearly chose, why we chose as we did, the estimated impact on NW/CW if the alternative were adopted, and the conditions under which we would revisit.</w:t>
      </w:r>
    </w:p>
    <w:p>
      <w:pPr>
        <w:pStyle w:val="Heading2"/>
      </w:pPr>
      <w:r>
        <w:t xml:space="preserve">Decision 1: Drop IHDI Composite, Use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Chosen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Three component gaps (LE, EdAtt, GNI) by sex from UNDP HDR25, each as separate sub-liability under L_INTRA_Gender.</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b/>
                <w:bCs/>
              </w:rPr>
              <w:t xml:space="preserve">Alternative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Retain IHDI loss% as single L_Inequality metric (operationally simpler, 206-country coverage from 2010).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Rationale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IHDI conflates gender with distribution; equal-weighted composite is advocacy design. Components are measurement-grade and decomposable.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Impact if reversed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BRA: NW/CW changes by ~10pp. NGA: ~20pp. USA/CHN: &lt;2pp. India: ~7pp. Moderate to high impact for developing countries.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Revisit when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Never for IHDI. Could revisit component selection if better gendered data emerges (e.g., wealth by sex, not just income).</w:t>
            </w:r>
          </w:p>
        </w:tc>
      </w:tr>
      <w:tr>
        <w:tc>
          <w:tcPr>
            <w:tcW w:type="dxa" w:w="2400"/>
            <w:tcBorders>
              <w:top w:val="single" w:color="AAAAAA" w:sz="1"/>
              <w:left w:val="single" w:color="AAAAAA" w:sz="1"/>
              <w:bottom w:val="single" w:color="AAAAAA" w:sz="1"/>
              <w:right w:val="single" w:color="AAAAAA" w:sz="1"/>
            </w:tcBorders>
            <w:shd w:fill="E8D5E8" w:val="clear"/>
            <w:tcMar>
              <w:top w:type="dxa" w:w="60"/>
              <w:left w:type="dxa" w:w="100"/>
              <w:bottom w:type="dxa" w:w="60"/>
              <w:right w:type="dxa" w:w="100"/>
            </w:tcMar>
          </w:tcPr>
          <w:p>
            <w:pPr>
              <w:spacing w:after="40"/>
            </w:pPr>
            <w:r>
              <w:rPr>
                <w:b/>
                <w:bCs/>
              </w:rPr>
              <w:t xml:space="preserve">Ambivalence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LOW. This is a strong conviction decision. The composite is indefensible for balance sheet purposes.</w:t>
            </w:r>
          </w:p>
        </w:tc>
      </w:tr>
    </w:tbl>
    <w:p>
      <w:pPr>
        <w:spacing w:after="120" w:line="276"/>
      </w:pPr>
      <w:r>
        <w:t xml:space="preserve"/>
      </w:r>
    </w:p>
    <w:p>
      <w:pPr>
        <w:pStyle w:val="Heading2"/>
      </w:pPr>
      <w:r>
        <w:t xml:space="preserve">Decision 2: GNI Gap Subsumes LFPR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Chosen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L_GNI_Gap = [(M−F)/(M+F)] × CW as comprehensive income inequality measure. Existing L_Gender (LFPR gap) kept as separate sub-liability for labor force underutilization.</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b/>
                <w:bCs/>
              </w:rPr>
              <w:t xml:space="preserve">Alternative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Drop L_Gender entirely; GNI gap already incorporates LFPR effects (non-participating women have zero GNI).</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Rationale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L_Gender (LFPR) measures potential labor supply not utilized. L_GNI_Gap measures realized income disparity. Both are real but distinct claims on Commonwealth. Potential double-counting is acknowledged and accepted as preferable to undercounting.</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Impact if reversed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Dropping L_Gender would reduce L_INTRA by 5–15% depending on country (higher for IND/NGA where LFPR gap is extreme). Moderate impact.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Revisit when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When empirical testing shows L_Gender and L_GNI_Gap are collinear (r &gt; 0.9), drop the weaker. Or when the Chetty subnational PoC provides micro-data to disentangle participation from wage discrimination.</w:t>
            </w:r>
          </w:p>
        </w:tc>
      </w:tr>
      <w:tr>
        <w:tc>
          <w:tcPr>
            <w:tcW w:type="dxa" w:w="2400"/>
            <w:tcBorders>
              <w:top w:val="single" w:color="AAAAAA" w:sz="1"/>
              <w:left w:val="single" w:color="AAAAAA" w:sz="1"/>
              <w:bottom w:val="single" w:color="AAAAAA" w:sz="1"/>
              <w:right w:val="single" w:color="AAAAAA" w:sz="1"/>
            </w:tcBorders>
            <w:shd w:fill="E8D5E8" w:val="clear"/>
            <w:tcMar>
              <w:top w:type="dxa" w:w="60"/>
              <w:left w:type="dxa" w:w="100"/>
              <w:bottom w:type="dxa" w:w="60"/>
              <w:right w:type="dxa" w:w="100"/>
            </w:tcMar>
          </w:tcPr>
          <w:p>
            <w:pPr>
              <w:spacing w:after="40"/>
            </w:pPr>
            <w:r>
              <w:rPr>
                <w:b/>
                <w:bCs/>
              </w:rPr>
              <w:t xml:space="preserve">Ambivalence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MODERATE. Conceptually distinct but empirically overlapping. Documented for future resolution.</w:t>
            </w:r>
          </w:p>
        </w:tc>
      </w:tr>
    </w:tbl>
    <w:p>
      <w:pPr>
        <w:spacing w:after="120" w:line="276"/>
      </w:pPr>
      <w:r>
        <w:t xml:space="preserve"/>
      </w:r>
    </w:p>
    <w:p>
      <w:pPr>
        <w:pStyle w:val="Heading2"/>
      </w:pPr>
      <w:r>
        <w:t xml:space="preserve">Decision 3: Atkinson ε=1 for Distributional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Chosen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Atkinson ε=1 from WIID Companion as primary driver for L_Distribution = Atkinson × CW. Simple proportional form for v2 production run.</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b/>
                <w:bCs/>
              </w:rPr>
              <w:t xml:space="preserve">Alternative A</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Gini coefficient instead of Atkinson. More widely recognized but purely statistical—no welfare interpretation.</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b/>
                <w:bCs/>
              </w:rPr>
              <w:t xml:space="preserve">Alternative B</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Threshold form: L = CW × max(0, I − I_min). Treats inequality below structural minimum as excitatory (incentive-providing). More defensible normatively but requires calibrating I_min.</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b/>
                <w:bCs/>
              </w:rPr>
              <w:t xml:space="preserve">Alternative C</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Convex form: L = CW × max(0, I − I_min)². Liability accelerates as inequality rises above threshold. Best maps the synaptic framework (nonlinear inhibition).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Rationale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Atkinson has direct welfare interpretation (EDE concept). ε=1 is the conventional moderate choice. Simple proportional form is transparent and testable. Threshold/convex forms deferred until empirical distribution is examined.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Impact if reversed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Gini vs Atkinson: </w:t>
            </w:r>
            <w:r>
              <w:t xml:space="preserve">Moderate. Gini and Atkinson ε=1 are correlated (r~0.95) but diverge for high-inequality countries. </w:t>
            </w:r>
            <w:r>
              <w:rPr>
                <w:b/>
                <w:bCs/>
              </w:rPr>
              <w:t xml:space="preserve">Threshold at 0.25: </w:t>
            </w:r>
            <w:r>
              <w:t xml:space="preserve">High for Nordics (L→0) but low for most developing countries (I &gt;&gt; 0.25). </w:t>
            </w:r>
            <w:r>
              <w:rPr>
                <w:b/>
                <w:bCs/>
              </w:rPr>
              <w:t xml:space="preserve">ε parameter: </w:t>
            </w:r>
            <w:r>
              <w:t xml:space="preserve">High. ε=2 roughly doubles L_Distribution for high-inequality countries.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Revisit when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After WIID Companion data is loaded and empirical distribution examined. The threshold value and functional form are Phase 2 refinements; the choice of Atkinson over Gini is likely permanent.</w:t>
            </w:r>
          </w:p>
        </w:tc>
      </w:tr>
      <w:tr>
        <w:tc>
          <w:tcPr>
            <w:tcW w:type="dxa" w:w="2400"/>
            <w:tcBorders>
              <w:top w:val="single" w:color="AAAAAA" w:sz="1"/>
              <w:left w:val="single" w:color="AAAAAA" w:sz="1"/>
              <w:bottom w:val="single" w:color="AAAAAA" w:sz="1"/>
              <w:right w:val="single" w:color="AAAAAA" w:sz="1"/>
            </w:tcBorders>
            <w:shd w:fill="E8D5E8" w:val="clear"/>
            <w:tcMar>
              <w:top w:type="dxa" w:w="60"/>
              <w:left w:type="dxa" w:w="100"/>
              <w:bottom w:type="dxa" w:w="60"/>
              <w:right w:type="dxa" w:w="100"/>
            </w:tcMar>
          </w:tcPr>
          <w:p>
            <w:pPr>
              <w:spacing w:after="40"/>
            </w:pPr>
            <w:r>
              <w:rPr>
                <w:b/>
                <w:bCs/>
              </w:rPr>
              <w:t xml:space="preserve">Ambivalence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HIGH for functional form (proportional vs threshold vs convex). LOW for index choice (Atkinson over Gini). MODERATE for ε parameter (1 is conventional but normative).</w:t>
            </w:r>
          </w:p>
        </w:tc>
      </w:tr>
    </w:tbl>
    <w:p>
      <w:pPr>
        <w:spacing w:after="120" w:line="276"/>
      </w:pPr>
      <w:r>
        <w:t xml:space="preserve"/>
      </w:r>
    </w:p>
    <w:p>
      <w:pPr>
        <w:pStyle w:val="Heading2"/>
      </w:pPr>
      <w:r>
        <w:t xml:space="preserve">Decision 4: WIID Companion as Primary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Chosen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WIID Companion (UNU-WIDER, April 2025) for L_Distribution. Harmonized to net/disposable income. ~148/151 CWoN country overlap. SWIID v9.x for gap-fill.</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b/>
                <w:bCs/>
              </w:rPr>
              <w:t xml:space="preserve">Alternative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SWIID as primary (imputed balanced panel, 196 countries, 1960+). Advantage: truly balanced panel. Disadvantage: imputed values in non-survey years are model estimates, not observations.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Rationale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WIID Companion is observation-based with documented quality ratings per data point (NUSAP-compatible). SWIID’s imputation provides convenience at the cost of pedigree. Use SWIID only where WIID has gaps &gt;3 years.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Impact if reversed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LOW for most countries (WIID and SWIID agree closely where surveys exist). MODERATE for data-poor countries where SWIID’s imputation diverges from WIID’s sparse observations.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Revisit when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After both datasets are loaded and compared for the 151-country panel. If SWIID’s balanced panel proves superior for pipeline automation, switch.</w:t>
            </w:r>
          </w:p>
        </w:tc>
      </w:tr>
      <w:tr>
        <w:tc>
          <w:tcPr>
            <w:tcW w:type="dxa" w:w="2400"/>
            <w:tcBorders>
              <w:top w:val="single" w:color="AAAAAA" w:sz="1"/>
              <w:left w:val="single" w:color="AAAAAA" w:sz="1"/>
              <w:bottom w:val="single" w:color="AAAAAA" w:sz="1"/>
              <w:right w:val="single" w:color="AAAAAA" w:sz="1"/>
            </w:tcBorders>
            <w:shd w:fill="E8D5E8" w:val="clear"/>
            <w:tcMar>
              <w:top w:type="dxa" w:w="60"/>
              <w:left w:type="dxa" w:w="100"/>
              <w:bottom w:type="dxa" w:w="60"/>
              <w:right w:type="dxa" w:w="100"/>
            </w:tcMar>
          </w:tcPr>
          <w:p>
            <w:pPr>
              <w:spacing w:after="40"/>
            </w:pPr>
            <w:r>
              <w:rPr>
                <w:b/>
                <w:bCs/>
              </w:rPr>
              <w:t xml:space="preserve">Ambivalence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LOW. WIID Companion is clearly the better primary source. SWIID is a good backup.</w:t>
            </w:r>
          </w:p>
        </w:tc>
      </w:tr>
    </w:tbl>
    <w:p>
      <w:pPr>
        <w:spacing w:after="120" w:line="276"/>
      </w:pPr>
      <w:r>
        <w:t xml:space="preserve"/>
      </w:r>
    </w:p>
    <w:p>
      <w:pPr>
        <w:pStyle w:val="Heading2"/>
      </w:pPr>
      <w:r>
        <w:t xml:space="preserve">Decision 5: Gender-Based L_INTRA Now, Distributional L_INTRA When Data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Chosen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Proceed with gender component gaps (LE, EdAtt, GNI by sex) for v2 production run. Add L_Distribution (Atkinson from WIID) when data is fetched and wired. These are separate sub-liabilities under L_INTRA, not substitutes.</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b/>
                <w:bCs/>
              </w:rPr>
              <w:t xml:space="preserve">Alternative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Wait for WIID data before any production run, so L_INTRA is complete from the start.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Rationale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The scaffolding principle: pour the floor when the foundation is ready, not when the entire building is designed. Gender-based L_INTRA is analytically sound and covers 206 countries, 1990–2023. L_Distribution adds a second dimension but should not block progress.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Impact if reversed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Delay of 1–2 sessions for data fetch + wiring. Risk: WIID data reveals issues requiring architectural changes that invalidate v2.</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Revisit when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Immediately upon receiving WIID Companion data from Gemini/manual download.</w:t>
            </w:r>
          </w:p>
        </w:tc>
      </w:tr>
      <w:tr>
        <w:tc>
          <w:tcPr>
            <w:tcW w:type="dxa" w:w="2400"/>
            <w:tcBorders>
              <w:top w:val="single" w:color="AAAAAA" w:sz="1"/>
              <w:left w:val="single" w:color="AAAAAA" w:sz="1"/>
              <w:bottom w:val="single" w:color="AAAAAA" w:sz="1"/>
              <w:right w:val="single" w:color="AAAAAA" w:sz="1"/>
            </w:tcBorders>
            <w:shd w:fill="E8D5E8" w:val="clear"/>
            <w:tcMar>
              <w:top w:type="dxa" w:w="60"/>
              <w:left w:type="dxa" w:w="100"/>
              <w:bottom w:type="dxa" w:w="60"/>
              <w:right w:type="dxa" w:w="100"/>
            </w:tcMar>
          </w:tcPr>
          <w:p>
            <w:pPr>
              <w:spacing w:after="40"/>
            </w:pPr>
            <w:r>
              <w:rPr>
                <w:b/>
                <w:bCs/>
              </w:rPr>
              <w:t xml:space="preserve">Ambivalence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LOW. Sequencing is clearly right. But note: v2 NW will change when L_Distribution is added. This is expected and documented.</w:t>
            </w:r>
          </w:p>
        </w:tc>
      </w:tr>
    </w:tbl>
    <w:p>
      <w:r>
        <w:br w:type="page"/>
      </w:r>
    </w:p>
    <w:p>
      <w:pPr>
        <w:pStyle w:val="Heading1"/>
      </w:pPr>
      <w:r>
        <w:t xml:space="preserve">Part D: L_INTRA Architecture Summary</w:t>
      </w:r>
    </w:p>
    <w:p>
      <w:pPr>
        <w:spacing w:after="120" w:line="276"/>
      </w:pPr>
      <w:r>
        <w:t xml:space="preserve">The complete intragenerational liability has two branches:</w:t>
      </w:r>
    </w:p>
    <w:p>
      <w:pPr>
        <w:pStyle w:val="Heading2"/>
      </w:pPr>
      <w:r>
        <w:t xml:space="preserve">D.1 L_INTRA_Gender (implemented, ready for v2 production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Sub-liability</w:t>
            </w:r>
          </w:p>
        </w:tc>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Formula</w:t>
            </w:r>
          </w:p>
        </w:tc>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Source</w:t>
            </w:r>
          </w:p>
        </w:tc>
        <w:tc>
          <w:tcPr>
            <w:tcW w:type="dxa" w:w="2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Coverage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L_GNI_Gap</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[(M−F)/(M+F)] × CW</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UNDP HDR25 gni_pc_f/m</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206 countries, 1990–2023</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L_EdAtt_Gap</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|M−F|/max × HR_share × CW</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UNDP HDR25 mys_f/m</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206 countries, 1990–2023</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L_LE_Gap</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|M−F|/max × HR_share × CW</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UNDP HDR25 le_f/m</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206 countries, 1990–2023</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L_Gender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LFPR_gap_share × CW</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ILO EAP_2WAP (primary)</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276 countries, 1990–2027</w:t>
            </w:r>
          </w:p>
        </w:tc>
      </w:tr>
    </w:tbl>
    <w:p>
      <w:pPr>
        <w:spacing w:after="120" w:line="276"/>
      </w:pPr>
      <w:r>
        <w:t xml:space="preserve"/>
      </w:r>
    </w:p>
    <w:p>
      <w:pPr>
        <w:pStyle w:val="Heading2"/>
      </w:pPr>
      <w:r>
        <w:t xml:space="preserve">D.2 L_INTRA_Distribution (pending WIID data 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Sub-liability</w:t>
            </w:r>
          </w:p>
        </w:tc>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Formula</w:t>
            </w:r>
          </w:p>
        </w:tc>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Source</w:t>
            </w:r>
          </w:p>
        </w:tc>
        <w:tc>
          <w:tcPr>
            <w:tcW w:type="dxa" w:w="2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Coverage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L_Distribution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Atkinson(ε=1) × CW</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WIID Companion 2025</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~148 CWoN countries, 1990–2023</w:t>
            </w:r>
          </w:p>
        </w:tc>
      </w:tr>
    </w:tbl>
    <w:p>
      <w:pPr>
        <w:spacing w:after="120" w:line="276"/>
      </w:pPr>
      <w:r>
        <w:t xml:space="preserve"/>
      </w:r>
    </w:p>
    <w:p>
      <w:pPr>
        <w:spacing w:after="120" w:line="276"/>
      </w:pPr>
      <w:r>
        <w:rPr>
          <w:b/>
          <w:bCs/>
        </w:rPr>
        <w:t xml:space="preserve">Total L_INTRA = </w:t>
      </w:r>
      <w:r>
        <w:t xml:space="preserve">L_GNI_Gap + L_EdAtt_Gap + L_LE_Gap + L_Gender + L_Distribution</w:t>
      </w:r>
    </w:p>
    <w:p>
      <w:pPr>
        <w:spacing w:after="120" w:line="276"/>
      </w:pPr>
      <w:r>
        <w:t xml:space="preserve"/>
      </w:r>
    </w:p>
    <w:p>
      <w:pPr>
        <w:spacing w:after="120" w:line="276"/>
      </w:pPr>
      <w:r>
        <w:rPr>
          <w:b/>
          <w:bCs/>
        </w:rPr>
        <w:t xml:space="preserve">Total liabilities: </w:t>
      </w:r>
      <w:r>
        <w:t xml:space="preserve">L = L_INTER (sovereign debt + carbon) + L_INTRA</w:t>
      </w:r>
    </w:p>
    <w:p>
      <w:pPr>
        <w:spacing w:after="120" w:line="276"/>
      </w:pPr>
      <w:r>
        <w:rPr>
          <w:b/>
          <w:bCs/>
        </w:rPr>
        <w:t xml:space="preserve">Net Worth (wēle): </w:t>
      </w:r>
      <w:r>
        <w:t xml:space="preserve">NW = CW − L</w:t>
      </w:r>
    </w:p>
    <w:p>
      <w:r>
        <w:br w:type="page"/>
      </w:r>
    </w:p>
    <w:p>
      <w:pPr>
        <w:pStyle w:val="Heading1"/>
      </w:pPr>
      <w:r>
        <w:t xml:space="preserve">Annex A: Inter-AI Collaboration Protocol</w:t>
      </w:r>
    </w:p>
    <w:p>
      <w:pPr>
        <w:spacing w:after="120" w:line="276"/>
      </w:pPr>
      <w:r>
        <w:rPr>
          <w:i/>
          <w:iCs/>
          <w:color w:val="555555"/>
        </w:rPr>
        <w:t xml:space="preserve">This annex documents the operational protocol for Claude–Gemini collaboration, including known process limitations and workarounds.</w:t>
      </w:r>
    </w:p>
    <w:p>
      <w:pPr>
        <w:pStyle w:val="Heading2"/>
      </w:pPr>
      <w:r>
        <w:t xml:space="preserve">A.1 Roles</w:t>
      </w:r>
    </w:p>
    <w:p>
      <w:pPr>
        <w:spacing w:after="120" w:line="276"/>
      </w:pPr>
      <w:r>
        <w:rPr>
          <w:b/>
          <w:bCs/>
        </w:rPr>
        <w:t xml:space="preserve">Claude (Anthropic): </w:t>
      </w:r>
      <w:r>
        <w:t xml:space="preserve">Primary computational architect. Builds workbooks, writes code, manages the project state (SESSION_END files, SPMF updates, inventory). Has direct filesystem access. Can fetch data via web search and WebFetch but subject to egress restrictions on some domains.</w:t>
      </w:r>
    </w:p>
    <w:p>
      <w:pPr>
        <w:spacing w:after="120" w:line="276"/>
      </w:pPr>
      <w:r>
        <w:rPr>
          <w:b/>
          <w:bCs/>
        </w:rPr>
        <w:t xml:space="preserve">Gemini Ultra (Google): </w:t>
      </w:r>
      <w:r>
        <w:t xml:space="preserve">Research collaborator. Excels at literature review, source evaluation, and architectural assessment. Has access to Google’s search index and some academic databases. Limited ability to download or deliver files—typically provides text responses that must be copy-pasted.</w:t>
      </w:r>
    </w:p>
    <w:p>
      <w:pPr>
        <w:spacing w:after="120" w:line="276"/>
      </w:pPr>
      <w:r>
        <w:rPr>
          <w:b/>
          <w:bCs/>
        </w:rPr>
        <w:t xml:space="preserve">John O’Connor (Principal): </w:t>
      </w:r>
      <w:r>
        <w:t xml:space="preserve">Passes prompts between agents. Fetches data that neither agent can access directly (browser downloads, authenticated sources). Makes architectural decisions when agents disagree or identify ambivalence.</w:t>
      </w:r>
    </w:p>
    <w:p>
      <w:pPr>
        <w:pStyle w:val="Heading2"/>
      </w:pPr>
      <w:r>
        <w:t xml:space="preserve">A.2 Known Process Limitations</w:t>
      </w:r>
    </w:p>
    <w:p>
      <w:pPr>
        <w:pStyle w:val="ListParagraph"/>
        <w:numPr>
          <w:ilvl w:val="0"/>
          <w:numId w:val="3"/>
        </w:numPr>
        <w:spacing w:after="80"/>
      </w:pPr>
      <w:r>
        <w:rPr>
          <w:b/>
          <w:bCs/>
        </w:rPr>
        <w:t xml:space="preserve">Gemini cannot deliver files. </w:t>
      </w:r>
      <w:r>
        <w:t xml:space="preserve">Gemini’s responses are text-only. When a data source is identified, John must download the actual CSV/Excel from the source URL. Claude should provide alternative download instructions (direct URLs, API calls) when Gemini identifies a source.</w:t>
      </w:r>
    </w:p>
    <w:p>
      <w:pPr>
        <w:pStyle w:val="ListParagraph"/>
        <w:numPr>
          <w:ilvl w:val="0"/>
          <w:numId w:val="3"/>
        </w:numPr>
        <w:spacing w:after="80"/>
      </w:pPr>
      <w:r>
        <w:rPr>
          <w:b/>
          <w:bCs/>
        </w:rPr>
        <w:t xml:space="preserve">Claude has egress restrictions. </w:t>
      </w:r>
      <w:r>
        <w:t xml:space="preserve">Some domains (e.g., opportunityinsights.org) are blocked by the network egress proxy. Claude should document these as Statements of Exception and provide the human principal with direct URLs. Chrome for Claude may expand access in future.</w:t>
      </w:r>
    </w:p>
    <w:p>
      <w:pPr>
        <w:pStyle w:val="ListParagraph"/>
        <w:numPr>
          <w:ilvl w:val="0"/>
          <w:numId w:val="3"/>
        </w:numPr>
        <w:spacing w:after="80"/>
      </w:pPr>
      <w:r>
        <w:rPr>
          <w:b/>
          <w:bCs/>
        </w:rPr>
        <w:t xml:space="preserve">Neither agent shares session state directly. </w:t>
      </w:r>
      <w:r>
        <w:t xml:space="preserve">Gemini does not read Claude’s SESSION_END files or SPMF updates. Context must be provided in each prompt. Claude should draft comprehensive prompts that include enough architectural context for Gemini to respond usefully.</w:t>
      </w:r>
    </w:p>
    <w:p>
      <w:pPr>
        <w:pStyle w:val="ListParagraph"/>
        <w:numPr>
          <w:ilvl w:val="0"/>
          <w:numId w:val="3"/>
        </w:numPr>
        <w:spacing w:after="80"/>
      </w:pPr>
      <w:r>
        <w:rPr>
          <w:b/>
          <w:bCs/>
        </w:rPr>
        <w:t xml:space="preserve">Gemini’s coverage claims require verification. </w:t>
      </w:r>
      <w:r>
        <w:t xml:space="preserve">Gemini may report approximate coverage (“~148 of 151 countries”) without having checked the actual data. Claude should cross-reference all coverage claims against OconEco’s CWoN ISO3 list once data is in hand.</w:t>
      </w:r>
    </w:p>
    <w:p>
      <w:pPr>
        <w:pStyle w:val="Heading2"/>
      </w:pPr>
      <w:r>
        <w:t xml:space="preserve">A.3 Optimal Workflow</w:t>
      </w:r>
    </w:p>
    <w:p>
      <w:pPr>
        <w:pStyle w:val="ListParagraph"/>
        <w:numPr>
          <w:ilvl w:val="0"/>
          <w:numId w:val="3"/>
        </w:numPr>
        <w:spacing w:after="80"/>
      </w:pPr>
      <w:r>
        <w:t xml:space="preserve">Claude identifies a research question or data gap that requires external expertise.</w:t>
      </w:r>
    </w:p>
    <w:p>
      <w:pPr>
        <w:pStyle w:val="ListParagraph"/>
        <w:numPr>
          <w:ilvl w:val="0"/>
          <w:numId w:val="3"/>
        </w:numPr>
        <w:spacing w:after="80"/>
      </w:pPr>
      <w:r>
        <w:t xml:space="preserve">Claude drafts a targeted prompt with sufficient project context. Prompt is filed in D_Process/.</w:t>
      </w:r>
    </w:p>
    <w:p>
      <w:pPr>
        <w:pStyle w:val="ListParagraph"/>
        <w:numPr>
          <w:ilvl w:val="0"/>
          <w:numId w:val="3"/>
        </w:numPr>
        <w:spacing w:after="80"/>
      </w:pPr>
      <w:r>
        <w:t xml:space="preserve">John passes the prompt to Gemini and returns Gemini’s response to Claude.</w:t>
      </w:r>
    </w:p>
    <w:p>
      <w:pPr>
        <w:pStyle w:val="ListParagraph"/>
        <w:numPr>
          <w:ilvl w:val="0"/>
          <w:numId w:val="3"/>
        </w:numPr>
        <w:spacing w:after="80"/>
      </w:pPr>
      <w:r>
        <w:t xml:space="preserve">Claude assesses the response: accepts, pushes back, or requests follow-up.</w:t>
      </w:r>
    </w:p>
    <w:p>
      <w:pPr>
        <w:pStyle w:val="ListParagraph"/>
        <w:numPr>
          <w:ilvl w:val="0"/>
          <w:numId w:val="3"/>
        </w:numPr>
        <w:spacing w:after="80"/>
      </w:pPr>
      <w:r>
        <w:t xml:space="preserve">When a data source is identified, Claude provides John with the exact download URL and expected file structure.</w:t>
      </w:r>
    </w:p>
    <w:p>
      <w:pPr>
        <w:pStyle w:val="ListParagraph"/>
        <w:numPr>
          <w:ilvl w:val="0"/>
          <w:numId w:val="3"/>
        </w:numPr>
        <w:spacing w:after="80"/>
      </w:pPr>
      <w:r>
        <w:t xml:space="preserve">John downloads the file and uploads it to the project folder. Claude verifies and integrates.</w:t>
      </w:r>
    </w:p>
    <w:p>
      <w:pPr>
        <w:pStyle w:val="ListParagraph"/>
        <w:numPr>
          <w:ilvl w:val="0"/>
          <w:numId w:val="3"/>
        </w:numPr>
        <w:spacing w:after="80"/>
      </w:pPr>
      <w:r>
        <w:t xml:space="preserve">Decision points are recorded in the Decision Register (Part C of this document or equivalent OG).</w:t>
      </w:r>
    </w:p>
    <w:p>
      <w:pPr>
        <w:pStyle w:val="Heading2"/>
      </w:pPr>
      <w:r>
        <w:t xml:space="preserve">A.4 When to Use Which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Task Type</w:t>
            </w:r>
          </w:p>
        </w:tc>
        <w:tc>
          <w:tcPr>
            <w:tcW w:type="dxa" w:w="31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Primary Agent</w:t>
            </w:r>
          </w:p>
        </w:tc>
        <w:tc>
          <w:tcPr>
            <w:tcW w:type="dxa" w:w="31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b/>
                <w:bCs/>
              </w:rPr>
              <w:t xml:space="preserve">Why</w:t>
            </w:r>
          </w:p>
        </w:tc>
      </w:tr>
      <w:tr>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Literature review / source evaluation</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Gemini</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Broader search index, academic database access</w:t>
            </w:r>
          </w:p>
        </w:tc>
      </w:tr>
      <w:tr>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Data processing / workbook building</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Claude</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Direct filesystem, Python/openpyxl, pipeline code</w:t>
            </w:r>
          </w:p>
        </w:tc>
      </w:tr>
      <w:tr>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Architectural assessment</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Both (via exchange)</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Different training corpora yield different perspectives</w:t>
            </w:r>
          </w:p>
        </w:tc>
      </w:tr>
      <w:tr>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Data download</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John (manual)</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Neither agent can reliably download bulk data files</w:t>
            </w:r>
          </w:p>
        </w:tc>
      </w:tr>
      <w:tr>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Cross-validation of claims</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b/>
                <w:bCs/>
              </w:rPr>
              <w:t xml:space="preserve">Claude (after data in hand)</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t xml:space="preserve">Must verify against actual data, not descriptions of data</w:t>
            </w:r>
          </w:p>
        </w:tc>
      </w:tr>
    </w:tbl>
    <w:p>
      <w:r>
        <w:br w:type="page"/>
      </w:r>
    </w:p>
    <w:p>
      <w:pPr>
        <w:pStyle w:val="Heading1"/>
      </w:pPr>
      <w:r>
        <w:t xml:space="preserve">Annex B: Instructions for Gemini Review</w:t>
      </w:r>
    </w:p>
    <w:p>
      <w:pPr>
        <w:spacing w:after="120" w:line="276"/>
      </w:pPr>
      <w:r>
        <w:rPr>
          <w:i/>
          <w:iCs/>
          <w:color w:val="555555"/>
        </w:rPr>
        <w:t xml:space="preserve">The following section is addressed directly to Gemini Ultra. John: please paste this document to Gemini and ask for review comments.</w:t>
      </w:r>
    </w:p>
    <w:p>
      <w:pPr>
        <w:spacing w:after="120" w:line="276"/>
      </w:pPr>
      <w:r>
        <w:t xml:space="preserve"/>
      </w:r>
    </w:p>
    <w:p>
      <w:pPr>
        <w:spacing w:after="120" w:line="276"/>
      </w:pPr>
      <w:r>
        <w:rPr>
          <w:b/>
          <w:bCs/>
          <w:color w:val="2E5090"/>
          <w:sz w:val="24"/>
          <w:szCs w:val="24"/>
        </w:rPr>
        <w:t xml:space="preserve">To Gemini:</w:t>
      </w:r>
    </w:p>
    <w:p>
      <w:pPr>
        <w:spacing w:after="120" w:line="276"/>
      </w:pPr>
      <w:r>
        <w:t xml:space="preserve"/>
      </w:r>
    </w:p>
    <w:p>
      <w:pPr>
        <w:spacing w:after="120" w:line="276"/>
      </w:pPr>
      <w:r>
        <w:t xml:space="preserve">This document (OG-006) records the decision architecture for OconEco’s intragenerational liability framework. It was drafted by Claude after our exchange about inequality time series sources. I would like your review on:</w:t>
      </w:r>
    </w:p>
    <w:p>
      <w:pPr>
        <w:pStyle w:val="ListParagraph"/>
        <w:numPr>
          <w:ilvl w:val="0"/>
          <w:numId w:val="3"/>
        </w:numPr>
        <w:spacing w:after="80"/>
      </w:pPr>
      <w:r>
        <w:rPr>
          <w:b/>
          <w:bCs/>
        </w:rPr>
        <w:t xml:space="preserve">Accuracy of my characterization of your recommendations. </w:t>
      </w:r>
      <w:r>
        <w:t xml:space="preserve">Did I accurately represent the WIID Companion’s capabilities and your rationale for Atkinson ε=1?</w:t>
      </w:r>
    </w:p>
    <w:p>
      <w:pPr>
        <w:pStyle w:val="ListParagraph"/>
        <w:numPr>
          <w:ilvl w:val="0"/>
          <w:numId w:val="3"/>
        </w:numPr>
        <w:spacing w:after="80"/>
      </w:pPr>
      <w:r>
        <w:rPr>
          <w:b/>
          <w:bCs/>
        </w:rPr>
        <w:t xml:space="preserve">The Decision Register (Part C). </w:t>
      </w:r>
      <w:r>
        <w:t xml:space="preserve">For each of the 5 decisions, do you agree with the ambivalence rating (LOW/MODERATE/HIGH)? Would you rate any differently?</w:t>
      </w:r>
    </w:p>
    <w:p>
      <w:pPr>
        <w:pStyle w:val="ListParagraph"/>
        <w:numPr>
          <w:ilvl w:val="0"/>
          <w:numId w:val="3"/>
        </w:numPr>
        <w:spacing w:after="80"/>
      </w:pPr>
      <w:r>
        <w:rPr>
          <w:b/>
          <w:bCs/>
        </w:rPr>
        <w:t xml:space="preserve">The L_INTRA architecture (Part D). </w:t>
      </w:r>
      <w:r>
        <w:t xml:space="preserve">Is the decomposition into L_INTRA_Gender + L_INTRA_Distribution analytically sound? Are there risks of double-counting between the GNI gender gap and the Atkinson distributional index?</w:t>
      </w:r>
    </w:p>
    <w:p>
      <w:pPr>
        <w:pStyle w:val="ListParagraph"/>
        <w:numPr>
          <w:ilvl w:val="0"/>
          <w:numId w:val="3"/>
        </w:numPr>
        <w:spacing w:after="80"/>
      </w:pPr>
      <w:r>
        <w:rPr>
          <w:b/>
          <w:bCs/>
        </w:rPr>
        <w:t xml:space="preserve">Anything I’ve missed. </w:t>
      </w:r>
      <w:r>
        <w:t xml:space="preserve">Are there sources, functional form considerations, or methodological risks that this document should address but doesn’t?</w:t>
      </w:r>
    </w:p>
    <w:p>
      <w:pPr>
        <w:spacing w:after="120" w:line="276"/>
      </w:pPr>
      <w:r>
        <w:t xml:space="preserve">Please provide your comments as numbered responses corresponding to the four items above. I will pass your response back to Claude for assessment and incorporation.</w:t>
      </w:r>
    </w:p>
    <w:p>
      <w:pPr>
        <w:spacing w:after="120" w:line="276"/>
      </w:pPr>
      <w:r>
        <w:t xml:space="preserve"/>
      </w:r>
    </w:p>
    <w:p>
      <w:pPr>
        <w:pBdr>
          <w:top w:val="single" w:color="CCCCCC" w:sz="2" w:space="4"/>
        </w:pBdr>
        <w:spacing w:after="100" w:before="200"/>
      </w:pPr>
      <w:r>
        <w:rPr>
          <w:b/>
          <w:bCs/>
          <w:color w:val="808080"/>
          <w:sz w:val="20"/>
          <w:szCs w:val="20"/>
        </w:rPr>
        <w:t xml:space="preserve">Cross-references</w:t>
      </w:r>
    </w:p>
    <w:p>
      <w:pPr>
        <w:spacing w:after="120" w:line="276"/>
      </w:pPr>
      <w:r>
        <w:rPr>
          <w:color w:val="808080"/>
          <w:sz w:val="20"/>
          <w:szCs w:val="20"/>
        </w:rPr>
        <w:t xml:space="preserve">OG-005 • Titration_Workflow_20260317.md • Roadmap_National_to_Subnational_CW_20260318.docx • Liability_Framework_Think_Piece_20260317.docx • SESSION_END_20260317b.md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OconEco • C_Technical/Guidelines • Draft for Gemini Review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120" w:line="276"/>
      </w:pPr>
      <w:r>
        <w:rPr>
          <w:rStyle w:val="FootnoteReference"/>
        </w:rPr>
        <w:footnoteRef/>
      </w:r>
      <w:r>
        <w:t xml:space="preserve">Leo Goldstone, who sat in John O’Connor’s division at the World Bank, and Mahbub ul Haq designed HDI as an advocacy indicator to shift resources from the Bank to UNDP. The equal-weighting of LE, EdAtt, and GNI was deliberate simplification for communication, not measurement.</w:t>
      </w:r>
    </w:p>
  </w:footnote>
  <w:footnote w:id="2">
    <w:p>
      <w:pPr>
        <w:spacing w:after="120" w:line="276"/>
      </w:pPr>
      <w:r>
        <w:rPr>
          <w:rStyle w:val="FootnoteReference"/>
        </w:rPr>
        <w:footnoteRef/>
      </w:r>
      <w:r>
        <w:t xml:space="preserve">Atkinson, A.B. (1970). On the Measurement of Inequality. Journal of Economic Theory 2(3):244–263. The parameter ε encodes the social welfare function’s aversion to inequality: ε=0 is indifference, ε=1 is logarithmic (moderate), ε→∞ is Rawlsian.</w:t>
      </w:r>
    </w:p>
  </w:footnote>
  <w:footnote w:id="3">
    <w:p>
      <w:pPr>
        <w:spacing w:after="120" w:line="276"/>
      </w:pPr>
      <w:r>
        <w:rPr>
          <w:rStyle w:val="FootnoteReference"/>
        </w:rPr>
        <w:footnoteRef/>
      </w:r>
      <w:r>
        <w:t xml:space="preserve">The synaptic cleft metaphor: SI sits between pre-synaptic (asset-side productive capacity) and post-synaptic (liability-side claims and realized welfare). Silent synapses are institutions that exist but are not captured in standard measurement. See Roadmap_National_to_Subnational_CW_20260318.docx §&gt;5c.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b/>
        <w:bCs/>
        <w:color w:val="808080"/>
        <w:sz w:val="18"/>
        <w:szCs w:val="18"/>
      </w:rPr>
      <w:t xml:space="preserve">OG-006</w:t>
    </w:r>
    <w:r>
      <w:rPr>
        <w:rFonts w:ascii="Arial" w:cs="Arial" w:eastAsia="Arial" w:hAnsi="Arial"/>
        <w:color w:val="808080"/>
        <w:sz w:val="18"/>
        <w:szCs w:val="18"/>
      </w:rPr>
      <w:t xml:space="preserve">	Intragenerational Liability Architecture and Identified Ambivalence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2026-03-18T12:31:38.235Z</dcterms:created>
  <dcterms:modified xsi:type="dcterms:W3CDTF">2026-03-18T12:31:38.235Z</dcterms:modified>
</cp:coreProperties>
</file>

<file path=docProps/custom.xml><?xml version="1.0" encoding="utf-8"?>
<Properties xmlns="http://schemas.openxmlformats.org/officeDocument/2006/custom-properties" xmlns:vt="http://schemas.openxmlformats.org/officeDocument/2006/docPropsVTypes"/>
</file>