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B632" w14:textId="77777777" w:rsidR="005A338D" w:rsidRDefault="00E67545">
      <w:r>
        <w:rPr>
          <w:color w:val="666666"/>
          <w:sz w:val="20"/>
        </w:rPr>
        <w:t>FAND Operational Guideline OG-008</w:t>
      </w:r>
    </w:p>
    <w:p w14:paraId="07ACC409" w14:textId="55FE93B2" w:rsidR="005A338D" w:rsidRDefault="00507615">
      <w:pPr>
        <w:spacing w:after="120"/>
      </w:pPr>
      <w:r>
        <w:rPr>
          <w:b/>
          <w:sz w:val="36"/>
        </w:rPr>
        <w:t>Going from National to Multi-Level Analysis (M-LA)</w:t>
      </w:r>
    </w:p>
    <w:p w14:paraId="09E9507C" w14:textId="4A5B84AA" w:rsidR="005A338D" w:rsidRDefault="00E67545" w:rsidP="00CC3E81">
      <w:pPr>
        <w:spacing w:after="0"/>
      </w:pPr>
      <w:r>
        <w:rPr>
          <w:b/>
          <w:sz w:val="22"/>
        </w:rPr>
        <w:t>Author</w:t>
      </w:r>
      <w:r w:rsidR="00D11B8A">
        <w:rPr>
          <w:b/>
          <w:sz w:val="22"/>
        </w:rPr>
        <w:t>s</w:t>
      </w:r>
      <w:r>
        <w:rPr>
          <w:b/>
          <w:sz w:val="22"/>
        </w:rPr>
        <w:t xml:space="preserve">: </w:t>
      </w:r>
      <w:r>
        <w:rPr>
          <w:sz w:val="22"/>
        </w:rPr>
        <w:t>John O’Connor</w:t>
      </w:r>
      <w:r w:rsidR="00137D35">
        <w:rPr>
          <w:sz w:val="22"/>
        </w:rPr>
        <w:t xml:space="preserve"> &amp;</w:t>
      </w:r>
      <w:r w:rsidR="00D11B8A">
        <w:rPr>
          <w:sz w:val="22"/>
        </w:rPr>
        <w:t xml:space="preserve"> </w:t>
      </w:r>
      <w:r w:rsidR="00576C24">
        <w:rPr>
          <w:sz w:val="22"/>
        </w:rPr>
        <w:t>Claude Cowork, with assists from Gemini, ChatGP</w:t>
      </w:r>
      <w:r w:rsidR="008C5171">
        <w:rPr>
          <w:sz w:val="22"/>
        </w:rPr>
        <w:t>T, and Copilot</w:t>
      </w:r>
    </w:p>
    <w:p w14:paraId="56C155E6" w14:textId="39F7075B" w:rsidR="005A338D" w:rsidRDefault="00CC3E81">
      <w:r>
        <w:rPr>
          <w:b/>
          <w:sz w:val="22"/>
        </w:rPr>
        <w:t xml:space="preserve">OconEco, </w:t>
      </w:r>
      <w:r>
        <w:rPr>
          <w:sz w:val="22"/>
        </w:rPr>
        <w:t>May 202</w:t>
      </w:r>
      <w:r w:rsidR="00171611">
        <w:rPr>
          <w:sz w:val="22"/>
        </w:rPr>
        <w:t>6</w:t>
      </w:r>
    </w:p>
    <w:p w14:paraId="485781E9" w14:textId="1783308E" w:rsidR="005A338D" w:rsidRDefault="00171611" w:rsidP="00CC3E81">
      <w:pPr>
        <w:pStyle w:val="Heading1"/>
        <w:spacing w:before="0" w:after="0"/>
      </w:pPr>
      <w:r>
        <w:t>Back to the Future</w:t>
      </w:r>
    </w:p>
    <w:p w14:paraId="2B497ECD" w14:textId="77777777" w:rsidR="009B0760" w:rsidRPr="00EA0FB8" w:rsidRDefault="004769C5" w:rsidP="009B0760">
      <w:pPr>
        <w:spacing w:after="0"/>
        <w:jc w:val="center"/>
        <w:rPr>
          <w:i/>
          <w:iCs/>
          <w:sz w:val="18"/>
          <w:szCs w:val="18"/>
        </w:rPr>
      </w:pPr>
      <w:r w:rsidRPr="00EA0FB8">
        <w:rPr>
          <w:i/>
          <w:iCs/>
          <w:sz w:val="18"/>
          <w:szCs w:val="18"/>
        </w:rPr>
        <w:t>Where is the wisdom we have lost in knowledge? Where is the knowledge we have lost in information?</w:t>
      </w:r>
    </w:p>
    <w:p w14:paraId="1CCDA016" w14:textId="3DA9F1F8" w:rsidR="005E1BFA" w:rsidRPr="004769C5" w:rsidRDefault="004769C5" w:rsidP="004769C5">
      <w:pPr>
        <w:jc w:val="center"/>
        <w:rPr>
          <w:sz w:val="18"/>
          <w:szCs w:val="18"/>
        </w:rPr>
      </w:pPr>
      <w:r w:rsidRPr="004769C5">
        <w:rPr>
          <w:sz w:val="18"/>
          <w:szCs w:val="18"/>
        </w:rPr>
        <w:t xml:space="preserve"> ― T.S. Eliot, </w:t>
      </w:r>
      <w:hyperlink r:id="rId8" w:history="1">
        <w:r w:rsidRPr="002E69EE">
          <w:rPr>
            <w:rStyle w:val="Hyperlink"/>
            <w:sz w:val="18"/>
            <w:szCs w:val="18"/>
          </w:rPr>
          <w:t>The Rock</w:t>
        </w:r>
      </w:hyperlink>
    </w:p>
    <w:p w14:paraId="23D9B824" w14:textId="0999B241" w:rsidR="00845D83" w:rsidRDefault="00E67545">
      <w:r>
        <w:t xml:space="preserve">FAND (First Agentic Navigator for Development) is an independent project. </w:t>
      </w:r>
      <w:r w:rsidR="00CF5D83">
        <w:t xml:space="preserve">My </w:t>
      </w:r>
      <w:r w:rsidR="00D936B4">
        <w:t xml:space="preserve">career at </w:t>
      </w:r>
      <w:r>
        <w:t xml:space="preserve">the </w:t>
      </w:r>
      <w:r w:rsidR="00E95049">
        <w:t xml:space="preserve">IMF and then </w:t>
      </w:r>
      <w:r>
        <w:t>World Bank</w:t>
      </w:r>
      <w:r w:rsidR="00D936B4">
        <w:t xml:space="preserve"> was</w:t>
      </w:r>
      <w:r w:rsidR="00CF5D83">
        <w:t xml:space="preserve"> </w:t>
      </w:r>
      <w:r w:rsidR="00857F84">
        <w:t>design</w:t>
      </w:r>
      <w:r w:rsidR="00D936B4">
        <w:t>ing</w:t>
      </w:r>
      <w:r w:rsidR="00857F84">
        <w:t xml:space="preserve"> and manag</w:t>
      </w:r>
      <w:r w:rsidR="00D936B4">
        <w:t>ing</w:t>
      </w:r>
      <w:r w:rsidR="00857F84">
        <w:t xml:space="preserve"> </w:t>
      </w:r>
      <w:r w:rsidR="00B35982">
        <w:t>decision support systems</w:t>
      </w:r>
      <w:r w:rsidR="00D936B4">
        <w:t>. Those 31 years</w:t>
      </w:r>
      <w:r w:rsidR="00D84A58">
        <w:t xml:space="preserve"> </w:t>
      </w:r>
      <w:r w:rsidR="00D936B4">
        <w:t xml:space="preserve">ended </w:t>
      </w:r>
      <w:r w:rsidR="00703508">
        <w:t xml:space="preserve">as I took early retirement </w:t>
      </w:r>
      <w:r w:rsidR="00D84A58">
        <w:t xml:space="preserve">with </w:t>
      </w:r>
      <w:r w:rsidR="00F21407">
        <w:t xml:space="preserve">my fifteen minutes of Warholian fame as manager and primary author of </w:t>
      </w:r>
      <w:r>
        <w:t xml:space="preserve">the </w:t>
      </w:r>
      <w:r w:rsidR="00D069E8">
        <w:t xml:space="preserve">Bank’s 1995 </w:t>
      </w:r>
      <w:r>
        <w:t>Monitoring Environmental Progress (MEP)</w:t>
      </w:r>
      <w:r w:rsidR="00AE5D67">
        <w:t xml:space="preserve">. </w:t>
      </w:r>
      <w:r w:rsidR="008F4735">
        <w:t xml:space="preserve">Like the wealth lede buried on page 65 of MEP, </w:t>
      </w:r>
      <w:r w:rsidR="00DF2AD8">
        <w:t xml:space="preserve">FAND’s headline indicator is a capitalized version of the </w:t>
      </w:r>
      <w:hyperlink r:id="rId9" w:history="1">
        <w:r w:rsidR="00DF2AD8" w:rsidRPr="0062434C">
          <w:rPr>
            <w:rStyle w:val="Hyperlink"/>
          </w:rPr>
          <w:t xml:space="preserve">Bank’s per capita income for operational </w:t>
        </w:r>
        <w:r w:rsidR="00245DD4" w:rsidRPr="0062434C">
          <w:rPr>
            <w:rStyle w:val="Hyperlink"/>
          </w:rPr>
          <w:t xml:space="preserve">guideline </w:t>
        </w:r>
        <w:r w:rsidR="00DF2AD8" w:rsidRPr="0062434C">
          <w:rPr>
            <w:rStyle w:val="Hyperlink"/>
          </w:rPr>
          <w:t>purposes</w:t>
        </w:r>
      </w:hyperlink>
      <w:r w:rsidR="00AD55A9">
        <w:t>, now</w:t>
      </w:r>
      <w:r w:rsidR="005244B0">
        <w:t xml:space="preserve"> called CommonWealth (CW)</w:t>
      </w:r>
      <w:r w:rsidR="00DF2AD8">
        <w:t xml:space="preserve">. </w:t>
      </w:r>
      <w:r w:rsidR="002F231F">
        <w:t>That critical</w:t>
      </w:r>
      <w:r w:rsidR="00F97A9B">
        <w:t xml:space="preserve"> </w:t>
      </w:r>
      <w:r w:rsidR="00A329CA">
        <w:t xml:space="preserve">link to resource allocation decisions is </w:t>
      </w:r>
      <w:r w:rsidR="004F5CB0">
        <w:t xml:space="preserve">now </w:t>
      </w:r>
      <w:r w:rsidR="00054E6E">
        <w:t>missing</w:t>
      </w:r>
      <w:r w:rsidR="00A329CA">
        <w:t xml:space="preserve"> from Bank and other wealth metrics.</w:t>
      </w:r>
    </w:p>
    <w:p w14:paraId="2F80D6ED" w14:textId="75F41373" w:rsidR="00DF2AD8" w:rsidRDefault="001E10FE">
      <w:r>
        <w:t>FAND</w:t>
      </w:r>
      <w:r w:rsidR="00C74BAA">
        <w:t>’s nation-level or TL1</w:t>
      </w:r>
      <w:r w:rsidR="000F0D6E">
        <w:t xml:space="preserve"> prototype </w:t>
      </w:r>
      <w:r w:rsidR="00717A71">
        <w:t>show</w:t>
      </w:r>
      <w:r w:rsidR="0092128F">
        <w:t>s</w:t>
      </w:r>
      <w:r w:rsidR="00717A71">
        <w:t xml:space="preserve"> </w:t>
      </w:r>
      <w:r w:rsidR="00054E6E">
        <w:t>the MeP balance sheet, its buried lede (</w:t>
      </w:r>
      <w:r w:rsidR="004D0F0B">
        <w:t xml:space="preserve">p65) </w:t>
      </w:r>
      <w:r w:rsidR="00717A71">
        <w:t>is</w:t>
      </w:r>
      <w:r w:rsidR="004F5CB0">
        <w:t xml:space="preserve"> analytically</w:t>
      </w:r>
      <w:r w:rsidR="0092128F">
        <w:t xml:space="preserve"> significant </w:t>
      </w:r>
      <w:r w:rsidR="004D0F0B" w:rsidRPr="009E6EEF">
        <w:rPr>
          <w:i/>
          <w:iCs/>
        </w:rPr>
        <w:t>and</w:t>
      </w:r>
      <w:r w:rsidR="0092128F" w:rsidRPr="009E6EEF">
        <w:rPr>
          <w:i/>
          <w:iCs/>
        </w:rPr>
        <w:t xml:space="preserve"> </w:t>
      </w:r>
      <w:r w:rsidR="004F5CB0">
        <w:t>practicable</w:t>
      </w:r>
      <w:r w:rsidR="00C0311A">
        <w:t>.</w:t>
      </w:r>
      <w:r w:rsidR="0092128F">
        <w:t xml:space="preserve"> </w:t>
      </w:r>
      <w:r w:rsidR="005C4ED2">
        <w:t xml:space="preserve"> “</w:t>
      </w:r>
      <w:r w:rsidR="0057633E">
        <w:t>F</w:t>
      </w:r>
      <w:r w:rsidR="005C4ED2">
        <w:t>lip switches” a</w:t>
      </w:r>
      <w:r w:rsidR="005B533E">
        <w:t>t</w:t>
      </w:r>
      <w:r w:rsidR="005C4ED2">
        <w:t xml:space="preserve"> key points</w:t>
      </w:r>
      <w:r w:rsidR="0057633E">
        <w:t xml:space="preserve"> let</w:t>
      </w:r>
      <w:r w:rsidR="00B775C4">
        <w:t xml:space="preserve"> FAND</w:t>
      </w:r>
      <w:r w:rsidR="00153D22">
        <w:t xml:space="preserve"> </w:t>
      </w:r>
      <w:r w:rsidR="00B775C4">
        <w:t xml:space="preserve">users test significance of </w:t>
      </w:r>
      <w:r w:rsidR="00607B5F">
        <w:t>ways t</w:t>
      </w:r>
      <w:r w:rsidR="005B533E">
        <w:t>he Bank’s current</w:t>
      </w:r>
      <w:r w:rsidR="000632C6">
        <w:t xml:space="preserve"> Changing Wealth of </w:t>
      </w:r>
      <w:r w:rsidR="00E82441">
        <w:t>Nations (CWoN)</w:t>
      </w:r>
      <w:r w:rsidR="000632C6">
        <w:t xml:space="preserve"> database</w:t>
      </w:r>
      <w:r w:rsidR="00245DD4">
        <w:t xml:space="preserve"> digressed from its</w:t>
      </w:r>
      <w:r w:rsidR="0017070C">
        <w:t xml:space="preserve"> operational guidelines</w:t>
      </w:r>
      <w:r w:rsidR="008709D3">
        <w:t>.</w:t>
      </w:r>
      <w:r w:rsidR="000632C6">
        <w:t xml:space="preserve"> Like any good navigation tool, </w:t>
      </w:r>
      <w:r w:rsidR="00D33E01">
        <w:t xml:space="preserve">FAND </w:t>
      </w:r>
      <w:r w:rsidR="00FD432C">
        <w:t xml:space="preserve">is </w:t>
      </w:r>
      <w:r w:rsidR="00D33E01">
        <w:t xml:space="preserve"> ambivalen</w:t>
      </w:r>
      <w:r w:rsidR="00FD432C">
        <w:t>t</w:t>
      </w:r>
      <w:r w:rsidR="00D33E01">
        <w:t xml:space="preserve"> about How &amp; Why a user</w:t>
      </w:r>
      <w:r w:rsidR="000175D1">
        <w:t xml:space="preserve"> </w:t>
      </w:r>
      <w:r w:rsidR="00E814E6">
        <w:t xml:space="preserve">decides to </w:t>
      </w:r>
      <w:r w:rsidR="000175D1">
        <w:t>travel</w:t>
      </w:r>
      <w:r w:rsidR="00E814E6">
        <w:t>, or not</w:t>
      </w:r>
      <w:r w:rsidR="000175D1">
        <w:t xml:space="preserve">. It </w:t>
      </w:r>
      <w:r w:rsidR="001B4195">
        <w:t>only answers the reporter’s objective questions: What</w:t>
      </w:r>
      <w:r w:rsidR="008D4212">
        <w:t xml:space="preserve"> &amp; Who </w:t>
      </w:r>
      <w:r w:rsidR="00D96B32">
        <w:t>are Where and When</w:t>
      </w:r>
      <w:r w:rsidR="008D4212">
        <w:t xml:space="preserve">. </w:t>
      </w:r>
      <w:r w:rsidR="00F02099">
        <w:t xml:space="preserve">However, it </w:t>
      </w:r>
      <w:r w:rsidR="00C56DEB">
        <w:t xml:space="preserve">recognizes TL1 </w:t>
      </w:r>
      <w:r w:rsidR="00277E07">
        <w:t>is what Theodore M. Porter called a thin description</w:t>
      </w:r>
      <w:r w:rsidR="00F84E3F">
        <w:t xml:space="preserve">; </w:t>
      </w:r>
      <w:r w:rsidR="006943B3">
        <w:t>a</w:t>
      </w:r>
      <w:r w:rsidR="00F84E3F">
        <w:t xml:space="preserve">dequate </w:t>
      </w:r>
      <w:r w:rsidR="006943B3">
        <w:t xml:space="preserve">for navigating </w:t>
      </w:r>
      <w:r w:rsidR="00C56DEB">
        <w:t xml:space="preserve">at 30,000 feet but not for </w:t>
      </w:r>
      <w:r w:rsidR="008B3BE6">
        <w:t xml:space="preserve">picking </w:t>
      </w:r>
      <w:r w:rsidR="00376B9C">
        <w:t>takeoff</w:t>
      </w:r>
      <w:r w:rsidR="00C56DEB">
        <w:t xml:space="preserve"> or</w:t>
      </w:r>
      <w:r w:rsidR="00376B9C">
        <w:t xml:space="preserve"> landing</w:t>
      </w:r>
      <w:r w:rsidR="008B3BE6">
        <w:t xml:space="preserve"> sites</w:t>
      </w:r>
      <w:r w:rsidR="00376B9C">
        <w:t>.</w:t>
      </w:r>
      <w:r w:rsidR="0021563E">
        <w:t xml:space="preserve"> </w:t>
      </w:r>
      <w:r w:rsidR="00933014">
        <w:t>M</w:t>
      </w:r>
      <w:r w:rsidR="007725A3">
        <w:t>ulti</w:t>
      </w:r>
      <w:r w:rsidR="00933014">
        <w:t>-L</w:t>
      </w:r>
      <w:r w:rsidR="007725A3">
        <w:t xml:space="preserve">ocal </w:t>
      </w:r>
      <w:r w:rsidR="00933014">
        <w:t>A</w:t>
      </w:r>
      <w:r w:rsidR="007725A3">
        <w:t>nalytics (M-LA)</w:t>
      </w:r>
      <w:r w:rsidR="00935447">
        <w:t xml:space="preserve"> Phase II of FAND, a</w:t>
      </w:r>
      <w:r w:rsidR="00F51424">
        <w:t xml:space="preserve">dds such </w:t>
      </w:r>
      <w:r w:rsidR="00D96B32">
        <w:t>last</w:t>
      </w:r>
      <w:r w:rsidR="00654BAE">
        <w:t>-</w:t>
      </w:r>
      <w:r w:rsidR="00D96B32">
        <w:t>mile connectivity</w:t>
      </w:r>
      <w:r w:rsidR="00F51424">
        <w:t>.</w:t>
      </w:r>
    </w:p>
    <w:p w14:paraId="52F7887C" w14:textId="77F5B744" w:rsidR="00343225" w:rsidRDefault="0021563E">
      <w:r>
        <w:t>Phase I of FAND</w:t>
      </w:r>
      <w:r w:rsidR="00E73DB4">
        <w:t>,</w:t>
      </w:r>
      <w:r w:rsidR="00B04169">
        <w:t xml:space="preserve"> technically complete</w:t>
      </w:r>
      <w:r>
        <w:t xml:space="preserve"> </w:t>
      </w:r>
      <w:r w:rsidR="00B04169">
        <w:t>enough for</w:t>
      </w:r>
      <w:r w:rsidR="00B50671">
        <w:t xml:space="preserve"> substantive review, is</w:t>
      </w:r>
      <w:r>
        <w:t xml:space="preserve"> a comprehensive </w:t>
      </w:r>
      <w:r w:rsidR="00343225">
        <w:t xml:space="preserve">set of </w:t>
      </w:r>
      <w:r>
        <w:t xml:space="preserve">TL1 balance sheet for </w:t>
      </w:r>
      <w:r w:rsidR="00E90AA8">
        <w:t xml:space="preserve">most </w:t>
      </w:r>
      <w:r w:rsidR="001F612A">
        <w:t xml:space="preserve">nations </w:t>
      </w:r>
      <w:r>
        <w:t xml:space="preserve">from 1950 to 2025. </w:t>
      </w:r>
    </w:p>
    <w:p w14:paraId="4952DB93" w14:textId="2F2C564D" w:rsidR="006A57D0" w:rsidRDefault="0021563E">
      <w:r>
        <w:t>The balance sheet identity CW = PA + NC + RW is an accounting identity, not a regression; it holds by construction.</w:t>
      </w:r>
      <w:r w:rsidR="000E4009">
        <w:t xml:space="preserve"> </w:t>
      </w:r>
      <w:r>
        <w:t xml:space="preserve">The framework </w:t>
      </w:r>
      <w:r w:rsidR="00D111A8">
        <w:t>in</w:t>
      </w:r>
      <w:r w:rsidR="00DE7F35">
        <w:t>jects H</w:t>
      </w:r>
      <w:r>
        <w:t>ohfeldian jural-relations taxonomy (Hohfeld 1913, 1917)</w:t>
      </w:r>
      <w:r w:rsidR="00DE7F35">
        <w:t xml:space="preserve"> </w:t>
      </w:r>
      <w:r w:rsidR="00AF778A">
        <w:t>in</w:t>
      </w:r>
      <w:r w:rsidR="00DE7F35">
        <w:t xml:space="preserve">to </w:t>
      </w:r>
      <w:r w:rsidR="00AF778A">
        <w:t>the balance sheet</w:t>
      </w:r>
      <w:r>
        <w:t xml:space="preserve">. </w:t>
      </w:r>
      <w:r w:rsidR="006B65AB">
        <w:t xml:space="preserve">Produced Assets (PA) and Natural Capital (NC) </w:t>
      </w:r>
      <w:r w:rsidR="00CC767F">
        <w:t xml:space="preserve">are recognized and valued by Claims-Rights </w:t>
      </w:r>
      <w:r w:rsidR="00834E1E">
        <w:t>&amp;</w:t>
      </w:r>
      <w:r w:rsidR="00CC767F">
        <w:t xml:space="preserve"> -Duties</w:t>
      </w:r>
      <w:r w:rsidR="00D83CBC">
        <w:t>; legally enforceable against counterparties</w:t>
      </w:r>
      <w:r w:rsidR="00CC767F">
        <w:t>.</w:t>
      </w:r>
      <w:r w:rsidR="00B72E14">
        <w:t xml:space="preserve"> Residual Wealth (RW) </w:t>
      </w:r>
      <w:r w:rsidR="007D2716">
        <w:t xml:space="preserve">shows </w:t>
      </w:r>
      <w:r w:rsidR="00DB5A4B">
        <w:t>the</w:t>
      </w:r>
      <w:r w:rsidR="004D3540">
        <w:t xml:space="preserve"> contribution </w:t>
      </w:r>
      <w:r w:rsidR="00DB5A4B">
        <w:t>of Hohfel</w:t>
      </w:r>
      <w:r w:rsidR="004D3540">
        <w:t xml:space="preserve">d’s </w:t>
      </w:r>
      <w:r w:rsidR="00DB5A4B">
        <w:t>other</w:t>
      </w:r>
      <w:r w:rsidR="004D3540">
        <w:t xml:space="preserve"> jural correlatives to the wealth-creating process</w:t>
      </w:r>
      <w:r w:rsidR="002F5FF2">
        <w:t xml:space="preserve"> is nontrivial even if </w:t>
      </w:r>
      <w:r w:rsidR="001E5FDC">
        <w:t>one sticks to TL1.</w:t>
      </w:r>
    </w:p>
    <w:p w14:paraId="76762B55" w14:textId="75C8B81A" w:rsidR="005A338D" w:rsidRDefault="00834E1E">
      <w:r>
        <w:t>Like Claim-Rights &amp; -Duties, HR has a first-order position in Hohfeld</w:t>
      </w:r>
      <w:r w:rsidR="004E1F06">
        <w:t xml:space="preserve"> </w:t>
      </w:r>
      <w:r>
        <w:t xml:space="preserve">— the liberty of a human being to </w:t>
      </w:r>
      <w:r w:rsidR="004E1F06">
        <w:t xml:space="preserve">fruits of her labor and No-right of </w:t>
      </w:r>
      <w:r w:rsidR="00D83CBC">
        <w:t xml:space="preserve">counterparties </w:t>
      </w:r>
      <w:r w:rsidR="00A11BBD">
        <w:t>to claim them</w:t>
      </w:r>
      <w:r w:rsidR="00223CC4">
        <w:t xml:space="preserve">. </w:t>
      </w:r>
      <w:r>
        <w:t xml:space="preserve">This distinction is not decorative. It explains why HR cannot be observed via market </w:t>
      </w:r>
      <w:r>
        <w:lastRenderedPageBreak/>
        <w:t xml:space="preserve">transactions and must be inferred from a residual: you cannot buy or sell a human being’s productive liberty in a post-slavery legal order. The legal character of </w:t>
      </w:r>
      <w:r w:rsidR="001B7BF7">
        <w:t>an</w:t>
      </w:r>
      <w:r>
        <w:t xml:space="preserve"> asset determines </w:t>
      </w:r>
      <w:r w:rsidR="001B7BF7">
        <w:t xml:space="preserve">its recognition and valuation </w:t>
      </w:r>
      <w:r>
        <w:t>method</w:t>
      </w:r>
      <w:r w:rsidR="001B7BF7">
        <w:t>(s)</w:t>
      </w:r>
      <w:r>
        <w:t>.</w:t>
      </w:r>
    </w:p>
    <w:p w14:paraId="43583BC3" w14:textId="52833E1F" w:rsidR="005A4F83" w:rsidRDefault="00CC56A2">
      <w:r>
        <w:t xml:space="preserve">Except for the </w:t>
      </w:r>
      <w:r w:rsidR="00A32480">
        <w:t xml:space="preserve">microstates, takeoffs and landings happen </w:t>
      </w:r>
      <w:r w:rsidR="00A32480" w:rsidRPr="00F069A7">
        <w:rPr>
          <w:i/>
          <w:iCs/>
        </w:rPr>
        <w:t>in, not on</w:t>
      </w:r>
      <w:r w:rsidR="00A32480">
        <w:t xml:space="preserve">, </w:t>
      </w:r>
      <w:r w:rsidR="00F069A7">
        <w:t xml:space="preserve">some </w:t>
      </w:r>
      <w:r w:rsidR="00A32480">
        <w:t>nation.</w:t>
      </w:r>
    </w:p>
    <w:p w14:paraId="4104E0FA" w14:textId="77777777" w:rsidR="005A4F83" w:rsidRDefault="005A4F83"/>
    <w:p w14:paraId="1B249E7C" w14:textId="2AF98234" w:rsidR="00864821" w:rsidRDefault="00253863">
      <w:r>
        <w:t xml:space="preserve">At TL1, </w:t>
      </w:r>
      <w:r w:rsidR="001E1353">
        <w:t xml:space="preserve">RW – HR gauges </w:t>
      </w:r>
      <w:r w:rsidRPr="00253863">
        <w:rPr>
          <w:i/>
          <w:iCs/>
        </w:rPr>
        <w:t>relative</w:t>
      </w:r>
      <w:r>
        <w:t xml:space="preserve"> importa</w:t>
      </w:r>
      <w:r w:rsidR="001E1353">
        <w:t xml:space="preserve">nce of Hohfeld’s higher order jural </w:t>
      </w:r>
      <w:r w:rsidR="00303032">
        <w:t>rel</w:t>
      </w:r>
      <w:r>
        <w:t>ations</w:t>
      </w:r>
      <w:r w:rsidR="00B26E65">
        <w:t xml:space="preserve"> (Privilege and Immunity)</w:t>
      </w:r>
      <w:r>
        <w:t xml:space="preserve"> in a nation’</w:t>
      </w:r>
      <w:r w:rsidR="00B26E65">
        <w:t>s wealth creation process.</w:t>
      </w:r>
      <w:r w:rsidR="00DB3037">
        <w:t xml:space="preserve"> </w:t>
      </w:r>
      <w:r w:rsidR="007E67BE">
        <w:t xml:space="preserve">While </w:t>
      </w:r>
      <w:r w:rsidR="00BD5C52">
        <w:t>formally</w:t>
      </w:r>
      <w:r w:rsidR="00303032">
        <w:t xml:space="preserve"> held by </w:t>
      </w:r>
      <w:r w:rsidR="00783A5F">
        <w:t xml:space="preserve">a sovereign, </w:t>
      </w:r>
      <w:r w:rsidR="003A1C38">
        <w:t>nations differ in what means</w:t>
      </w:r>
      <w:r w:rsidR="00C46007">
        <w:t xml:space="preserve">; from </w:t>
      </w:r>
      <w:r w:rsidR="00E61038">
        <w:t xml:space="preserve">a </w:t>
      </w:r>
      <w:hyperlink r:id="rId10" w:history="1">
        <w:r w:rsidR="00DE27DA" w:rsidRPr="00DE27DA">
          <w:rPr>
            <w:rStyle w:val="Hyperlink"/>
          </w:rPr>
          <w:t>Leviathan</w:t>
        </w:r>
      </w:hyperlink>
      <w:r w:rsidR="00DE27DA">
        <w:t xml:space="preserve"> </w:t>
      </w:r>
      <w:r w:rsidR="00E61038">
        <w:t xml:space="preserve">to </w:t>
      </w:r>
      <w:hyperlink r:id="rId11" w:history="1">
        <w:r w:rsidR="00F411FE" w:rsidRPr="00FB51C7">
          <w:rPr>
            <w:rStyle w:val="Hyperlink"/>
          </w:rPr>
          <w:t>The People Out of Doors</w:t>
        </w:r>
      </w:hyperlink>
      <w:r w:rsidR="00F411FE">
        <w:t>.</w:t>
      </w:r>
      <w:r w:rsidR="009412CD">
        <w:t xml:space="preserve"> As a consequence, </w:t>
      </w:r>
    </w:p>
    <w:p w14:paraId="2473A6F6" w14:textId="1040A5C8" w:rsidR="000E041C" w:rsidRDefault="00E35361">
      <w:r>
        <w:t xml:space="preserve">who set boundaries </w:t>
      </w:r>
      <w:r w:rsidR="00F10990">
        <w:t xml:space="preserve">between </w:t>
      </w:r>
      <w:r w:rsidR="00F45B5C">
        <w:t>jural positions and what</w:t>
      </w:r>
      <w:r>
        <w:t xml:space="preserve"> </w:t>
      </w:r>
      <w:r w:rsidR="006E65F6">
        <w:t xml:space="preserve">was a “matter of law” and what </w:t>
      </w:r>
      <w:r w:rsidR="00C033D4">
        <w:t>subject to a</w:t>
      </w:r>
      <w:r w:rsidR="00FC185D">
        <w:t xml:space="preserve"> sovereign’s </w:t>
      </w:r>
      <w:r w:rsidR="00C76708">
        <w:t xml:space="preserve">sense </w:t>
      </w:r>
      <w:r w:rsidR="00FC185D">
        <w:t>of equity.</w:t>
      </w:r>
      <w:r w:rsidR="006302EC">
        <w:t xml:space="preserve"> W</w:t>
      </w:r>
      <w:r w:rsidR="00DB3037">
        <w:t xml:space="preserve">hile </w:t>
      </w:r>
      <w:r w:rsidR="006302EC">
        <w:t>b</w:t>
      </w:r>
      <w:r w:rsidR="008D48F2">
        <w:t xml:space="preserve">eyond the scope of this note to elaborate, </w:t>
      </w:r>
      <w:r w:rsidR="003D06A0">
        <w:t xml:space="preserve">some of my early mentors helped craft </w:t>
      </w:r>
      <w:r w:rsidR="008D48F2">
        <w:t xml:space="preserve">the </w:t>
      </w:r>
      <w:r w:rsidR="00B3435B">
        <w:t>W</w:t>
      </w:r>
      <w:r w:rsidR="008D48F2">
        <w:t xml:space="preserve">hite plan </w:t>
      </w:r>
      <w:r w:rsidR="00B3435B">
        <w:t xml:space="preserve">that shaped </w:t>
      </w:r>
      <w:r w:rsidR="008D48F2">
        <w:t>Bretton Woods</w:t>
      </w:r>
      <w:r w:rsidR="00B3435B">
        <w:t xml:space="preserve"> Articles of Agreemen</w:t>
      </w:r>
      <w:r w:rsidR="003D06A0">
        <w:t xml:space="preserve">t, and they </w:t>
      </w:r>
      <w:r w:rsidR="00FD3A8C">
        <w:t xml:space="preserve">presumed </w:t>
      </w:r>
      <w:r w:rsidR="00B3435B">
        <w:t xml:space="preserve">. </w:t>
      </w:r>
      <w:r w:rsidR="006302EC">
        <w:t>And, e</w:t>
      </w:r>
      <w:r w:rsidR="00190CC1">
        <w:t xml:space="preserve">ven </w:t>
      </w:r>
      <w:r w:rsidR="006302EC">
        <w:t>as</w:t>
      </w:r>
      <w:r w:rsidR="009C606C">
        <w:t xml:space="preserve"> </w:t>
      </w:r>
      <w:r w:rsidR="0062219D">
        <w:t>a</w:t>
      </w:r>
      <w:r w:rsidR="009C606C">
        <w:t xml:space="preserve"> logistician’s war made central pla</w:t>
      </w:r>
      <w:r w:rsidR="00E55EA2">
        <w:t>n</w:t>
      </w:r>
      <w:r w:rsidR="009C606C">
        <w:t xml:space="preserve">ners of all governments, </w:t>
      </w:r>
      <w:r w:rsidR="00A017C1">
        <w:t>t</w:t>
      </w:r>
      <w:r w:rsidR="004D5DF6">
        <w:t xml:space="preserve">hey </w:t>
      </w:r>
      <w:r w:rsidR="00190CC1">
        <w:t xml:space="preserve">clearly </w:t>
      </w:r>
      <w:r w:rsidR="006302EC">
        <w:t xml:space="preserve">expected </w:t>
      </w:r>
      <w:r w:rsidR="000A2F16">
        <w:t>all to “converge” on t</w:t>
      </w:r>
      <w:r w:rsidR="0062219D">
        <w:t xml:space="preserve">he US </w:t>
      </w:r>
      <w:r w:rsidR="000A2F16">
        <w:t>version of law and economics</w:t>
      </w:r>
      <w:r w:rsidR="000E041C">
        <w:t>. So,</w:t>
      </w:r>
    </w:p>
    <w:p w14:paraId="34B875CF" w14:textId="77777777" w:rsidR="000E041C" w:rsidRDefault="000E041C"/>
    <w:p w14:paraId="4E87FD11" w14:textId="03D8F194" w:rsidR="001E1353" w:rsidRDefault="00190CC1">
      <w:r>
        <w:t>e</w:t>
      </w:r>
      <w:r w:rsidR="004D5DF6">
        <w:t>xpect</w:t>
      </w:r>
      <w:r w:rsidR="00A017C1">
        <w:t xml:space="preserve">ed a post-war world </w:t>
      </w:r>
      <w:r w:rsidR="00E55EA2">
        <w:t>in which all c</w:t>
      </w:r>
      <w:r w:rsidR="00A017C1">
        <w:t>onverge on the US</w:t>
      </w:r>
      <w:r w:rsidR="00E55EA2">
        <w:t xml:space="preserve"> notion </w:t>
      </w:r>
      <w:proofErr w:type="spellStart"/>
      <w:r w:rsidR="004D5DF6">
        <w:t>ation</w:t>
      </w:r>
      <w:proofErr w:type="spellEnd"/>
      <w:r w:rsidR="004D5DF6">
        <w:t xml:space="preserve"> was for all governments to converge on the</w:t>
      </w:r>
      <w:r w:rsidR="00FB2BDE">
        <w:t xml:space="preserve"> logic and practice of the US with regard </w:t>
      </w:r>
      <w:proofErr w:type="spellStart"/>
      <w:r w:rsidR="00FB2BDE">
        <w:t>to</w:t>
      </w:r>
      <w:r w:rsidR="00A017C1">
        <w:t>d</w:t>
      </w:r>
      <w:proofErr w:type="spellEnd"/>
      <w:r w:rsidR="00A017C1">
        <w:t xml:space="preserve"> </w:t>
      </w:r>
      <w:r w:rsidR="00FB2BDE">
        <w:t xml:space="preserve"> law and economics</w:t>
      </w:r>
    </w:p>
    <w:p w14:paraId="2E6947ED" w14:textId="77777777" w:rsidR="005A338D" w:rsidRDefault="00E67545">
      <w:r>
        <w:br w:type="page"/>
      </w:r>
    </w:p>
    <w:p w14:paraId="17F9263E" w14:textId="77777777" w:rsidR="005A338D" w:rsidRDefault="00E67545">
      <w:pPr>
        <w:pStyle w:val="Heading1"/>
      </w:pPr>
      <w:r>
        <w:lastRenderedPageBreak/>
        <w:t>2. FAND Is a Balance Sheet, Not a Model</w:t>
      </w:r>
    </w:p>
    <w:p w14:paraId="4C3CD584" w14:textId="77777777" w:rsidR="005A338D" w:rsidRDefault="00E67545">
      <w:r>
        <w:rPr>
          <w:b/>
        </w:rPr>
        <w:t>FAND is a balance sheet, not a model. The HR regression is one analyst’s query against the balance sheet — not the balance sheet itself.</w:t>
      </w:r>
    </w:p>
    <w:p w14:paraId="54D7FD3F" w14:textId="77777777" w:rsidR="005A338D" w:rsidRDefault="00E67545">
      <w:r>
        <w:t>This distinction is fundamental to everything that follows. FAND populates the accounts: CW, PA, NC, RW. Different analysts can decompose RW using different specifications, different variables, different priors. Spec D-cap (the current international HR regression) is our best current decomposition, but the framework does not depend on it. An analyst who prefers Jorgenson-Fraumeni lifetime-earnings capitalization, or PISA-weighted schooling quality, or working-age mortality, or all three together, can run their query against the same balance sheet and get a different HR/SI split. FAND accommodates the disagreement; it does not resolve it.</w:t>
      </w:r>
    </w:p>
    <w:p w14:paraId="7D1B40FC" w14:textId="77777777" w:rsidR="005A338D" w:rsidRDefault="00E67545">
      <w:r>
        <w:t>This is exactly the relationship that DataBank has to the World Development Indicators. DataBank does not tell you which indicator matters — it organizes them so you can find out. The author built that tool. FAND is the same architecture applied to wealth accounts.</w:t>
      </w:r>
    </w:p>
    <w:p w14:paraId="1999015B" w14:textId="77777777" w:rsidR="005A338D" w:rsidRDefault="00E67545">
      <w:r>
        <w:t>The implication for this operational guideline is direct: when FAND moves from TL1 (national) to TL2 (state) and TL3 (county) within the United States, we will not be wedded to the same HR equation. The balance sheet identity holds at every scale. The regression specification does not have to. What changes at subnational scale is which query best decomposes RW into its human and institutional components — not the accounting framework that defines RW in the first place.</w:t>
      </w:r>
    </w:p>
    <w:p w14:paraId="1DD5B2A3" w14:textId="77777777" w:rsidR="005A338D" w:rsidRDefault="00E67545">
      <w:r>
        <w:t>In modern business accounting, indefinite-lived and long-lived assets are valued via asset-group impairment testing: does the carrying amount exceed the recoverable amount? The balance sheet is the navigation tool; the impairment test is the model. Different analysts apply different discount rates, different recovery assumptions, different market comparables — but they all work from the same balance sheet structure. FAND’s relationship to the HR equation is identical. The HR specification is an impairment test on the residual. The balance sheet survives any particular test.</w:t>
      </w:r>
    </w:p>
    <w:p w14:paraId="2A32E1FF" w14:textId="77777777" w:rsidR="005A338D" w:rsidRDefault="00E67545">
      <w:r>
        <w:br w:type="page"/>
      </w:r>
    </w:p>
    <w:p w14:paraId="7D14B1C0" w14:textId="77777777" w:rsidR="005A338D" w:rsidRDefault="00E67545">
      <w:pPr>
        <w:pStyle w:val="Heading1"/>
      </w:pPr>
      <w:r>
        <w:lastRenderedPageBreak/>
        <w:t>3. Capital Markets Decide Access</w:t>
      </w:r>
    </w:p>
    <w:p w14:paraId="1DF402D8" w14:textId="77777777" w:rsidR="005A338D" w:rsidRDefault="00E67545">
      <w:r>
        <w:t>A critical clarification: the HR regression does not measure what sovereigns do. It measures what capital markets see when they assess a territory’s income stream.</w:t>
      </w:r>
    </w:p>
    <w:p w14:paraId="351DE81E" w14:textId="77777777" w:rsidR="005A338D" w:rsidRDefault="00E67545">
      <w:r>
        <w:t>Capital markets assess whether a territory’s income stream is capitalizable. That assessment considers the composition of the asset base — whether income is grounded in depletable natural resources (high impairment risk), produced capital (medium risk, subject to obsolescence), or human productive capacity (durable, self-renewing). The ratio HR/CW is a measure of income-stream durability as seen from the lender’s side of the transaction.</w:t>
      </w:r>
    </w:p>
    <w:p w14:paraId="575EA3F5" w14:textId="77777777" w:rsidR="005A338D" w:rsidRDefault="00E67545">
      <w:r>
        <w:t>HR is not determined by sovereign behavior. Sovereign risk is certainly something capital markets consider, but it enters FAND’s framework through SI and DM, not through HR. A territory’s human capital endowment — how educated its workforce is, whether workers survive through productive years — is a precondition that capital markets evaluate. What the sovereign then does with that endowment (protects it, neglects it, constrains it, amplifies it) is the institutional story captured by Social Infrastructure.</w:t>
      </w:r>
    </w:p>
    <w:p w14:paraId="64C4DEC5" w14:textId="77777777" w:rsidR="005A338D" w:rsidRDefault="00E67545">
      <w:r>
        <w:t>DM (Deferred Maintenance) is the balance-sheet analogue of an impairment charge in business accounting. It quantifies the amount by which institutional decay has reduced a territory’s productive value below what its endowments warrant. In FASB terms, DM is the write-down from carrying amount to recoverable amount for the institutional asset group. The 20% SR floor is structurally analogous to a residual-value assumption — every going concern has some recovery value even when impaired.</w:t>
      </w:r>
    </w:p>
    <w:p w14:paraId="6FA31390" w14:textId="77777777" w:rsidR="005A338D" w:rsidRDefault="00E67545">
      <w:r>
        <w:t>This framing matters for Bretton Woods because DM maps directly onto the intermediation gap the Bank exists to fill. Where DM is large, private capital markets cannot find adequate collateral. The Bank pools risk for places that lack it. The policy directive embedded in FAND’s balance sheet is therefore: invest in how people collaborate and compete (reduce DM) before buying more PA.</w:t>
      </w:r>
    </w:p>
    <w:p w14:paraId="5E328002" w14:textId="77777777" w:rsidR="005A338D" w:rsidRDefault="00E67545">
      <w:r>
        <w:br w:type="page"/>
      </w:r>
    </w:p>
    <w:p w14:paraId="5265C0F1" w14:textId="77777777" w:rsidR="005A338D" w:rsidRDefault="00E67545">
      <w:pPr>
        <w:pStyle w:val="Heading1"/>
      </w:pPr>
      <w:r>
        <w:lastRenderedPageBreak/>
        <w:t>4. The International HR Regression: Measuring Take-Off Readiness</w:t>
      </w:r>
    </w:p>
    <w:p w14:paraId="24A7ACD4" w14:textId="77777777" w:rsidR="005A338D" w:rsidRDefault="00E67545">
      <w:pPr>
        <w:pStyle w:val="Heading2"/>
      </w:pPr>
      <w:r>
        <w:t>4.1 The Accounting Identity</w:t>
      </w:r>
    </w:p>
    <w:p w14:paraId="4F9DFB3C" w14:textId="77777777" w:rsidR="005A338D" w:rsidRDefault="00E67545">
      <w:r>
        <w:t>FAND constructs a national balance sheet for approximately 200 countries from 1950 to 2025:</w:t>
      </w:r>
    </w:p>
    <w:p w14:paraId="7ABC0BCD" w14:textId="77777777" w:rsidR="005A338D" w:rsidRDefault="00E67545">
      <w:pPr>
        <w:spacing w:after="60"/>
      </w:pPr>
      <w:r>
        <w:t xml:space="preserve">CW = PA + NC + RW  </w:t>
      </w:r>
      <w:r>
        <w:rPr>
          <w:i/>
          <w:sz w:val="22"/>
        </w:rPr>
        <w:t>(Comprehensive Wealth = Produced Assets + Natural Capital + Residual Wealth)</w:t>
      </w:r>
    </w:p>
    <w:p w14:paraId="1B1DC3F7" w14:textId="77777777" w:rsidR="005A338D" w:rsidRDefault="00E67545">
      <w:r>
        <w:t xml:space="preserve">RW = HR + SI  </w:t>
      </w:r>
      <w:r>
        <w:rPr>
          <w:i/>
          <w:sz w:val="22"/>
        </w:rPr>
        <w:t>(Residual Wealth = Human Resources + Social Infrastructure)</w:t>
      </w:r>
    </w:p>
    <w:p w14:paraId="5FF3A462" w14:textId="77777777" w:rsidR="005A338D" w:rsidRDefault="00E67545">
      <w:r>
        <w:t>CW is a capitalized GNI annuity. PA comes from OECD capital stock data extended via Perpetual Inventory Method to 211 countries. NC is the sum of five independently valued natural capital branches (fossil fuels, minerals, agricultural land, forest timber, fisheries). RW is defined by subtraction. HR is estimated via regression; SI is the residual of the residual.</w:t>
      </w:r>
    </w:p>
    <w:p w14:paraId="20F632A6" w14:textId="77777777" w:rsidR="005A338D" w:rsidRDefault="00E67545">
      <w:pPr>
        <w:pStyle w:val="Heading2"/>
      </w:pPr>
      <w:r>
        <w:t>4.2 The Specification (Spec D-cap)</w:t>
      </w:r>
    </w:p>
    <w:p w14:paraId="2001C520" w14:textId="77777777" w:rsidR="005A338D" w:rsidRDefault="00E67545">
      <w:r>
        <w:t>ln(RW</w:t>
      </w:r>
      <w:r>
        <w:rPr>
          <w:sz w:val="18"/>
          <w:vertAlign w:val="subscript"/>
        </w:rPr>
        <w:t>pc,Real2020</w:t>
      </w:r>
      <w:r>
        <w:t>) = α + β</w:t>
      </w:r>
      <w:r>
        <w:rPr>
          <w:sz w:val="18"/>
          <w:vertAlign w:val="subscript"/>
        </w:rPr>
        <w:t>MYS</w:t>
      </w:r>
      <w:r>
        <w:t xml:space="preserve"> × MYS + β</w:t>
      </w:r>
      <w:r>
        <w:rPr>
          <w:sz w:val="18"/>
          <w:vertAlign w:val="subscript"/>
        </w:rPr>
        <w:t>LE</w:t>
      </w:r>
      <w:r>
        <w:t xml:space="preserve"> × min(LE, 65) + β</w:t>
      </w:r>
      <w:r>
        <w:rPr>
          <w:sz w:val="18"/>
          <w:vertAlign w:val="subscript"/>
        </w:rPr>
        <w:t>t</w:t>
      </w:r>
      <w:r>
        <w:t xml:space="preserve"> × t</w:t>
      </w:r>
    </w:p>
    <w:tbl>
      <w:tblPr>
        <w:tblStyle w:val="TableGrid"/>
        <w:tblW w:w="0" w:type="auto"/>
        <w:jc w:val="center"/>
        <w:tblLook w:val="04A0" w:firstRow="1" w:lastRow="0" w:firstColumn="1" w:lastColumn="0" w:noHBand="0" w:noVBand="1"/>
      </w:tblPr>
      <w:tblGrid>
        <w:gridCol w:w="2340"/>
        <w:gridCol w:w="2340"/>
        <w:gridCol w:w="2340"/>
        <w:gridCol w:w="2340"/>
      </w:tblGrid>
      <w:tr w:rsidR="005A338D" w14:paraId="31B66DC1" w14:textId="77777777">
        <w:trPr>
          <w:jc w:val="center"/>
        </w:trPr>
        <w:tc>
          <w:tcPr>
            <w:tcW w:w="2340" w:type="dxa"/>
            <w:shd w:val="clear" w:color="auto" w:fill="D5E8F0"/>
          </w:tcPr>
          <w:p w14:paraId="7EF426A7" w14:textId="77777777" w:rsidR="005A338D" w:rsidRDefault="00E67545">
            <w:r>
              <w:rPr>
                <w:b/>
                <w:sz w:val="22"/>
              </w:rPr>
              <w:t>Parameter</w:t>
            </w:r>
          </w:p>
        </w:tc>
        <w:tc>
          <w:tcPr>
            <w:tcW w:w="2340" w:type="dxa"/>
            <w:shd w:val="clear" w:color="auto" w:fill="D5E8F0"/>
          </w:tcPr>
          <w:p w14:paraId="777BC030" w14:textId="77777777" w:rsidR="005A338D" w:rsidRDefault="00E67545">
            <w:r>
              <w:rPr>
                <w:b/>
                <w:sz w:val="22"/>
              </w:rPr>
              <w:t>Estimate</w:t>
            </w:r>
          </w:p>
        </w:tc>
        <w:tc>
          <w:tcPr>
            <w:tcW w:w="2340" w:type="dxa"/>
            <w:shd w:val="clear" w:color="auto" w:fill="D5E8F0"/>
          </w:tcPr>
          <w:p w14:paraId="6188E473" w14:textId="77777777" w:rsidR="005A338D" w:rsidRDefault="00E67545">
            <w:r>
              <w:rPr>
                <w:b/>
                <w:sz w:val="22"/>
              </w:rPr>
              <w:t>SE (HC1)</w:t>
            </w:r>
          </w:p>
        </w:tc>
        <w:tc>
          <w:tcPr>
            <w:tcW w:w="2340" w:type="dxa"/>
            <w:shd w:val="clear" w:color="auto" w:fill="D5E8F0"/>
          </w:tcPr>
          <w:p w14:paraId="5BB10916" w14:textId="77777777" w:rsidR="005A338D" w:rsidRDefault="00E67545">
            <w:r>
              <w:rPr>
                <w:b/>
                <w:sz w:val="22"/>
              </w:rPr>
              <w:t>t-stat</w:t>
            </w:r>
          </w:p>
        </w:tc>
      </w:tr>
      <w:tr w:rsidR="005A338D" w14:paraId="130B798D" w14:textId="77777777">
        <w:trPr>
          <w:jc w:val="center"/>
        </w:trPr>
        <w:tc>
          <w:tcPr>
            <w:tcW w:w="2340" w:type="dxa"/>
          </w:tcPr>
          <w:p w14:paraId="3E9D5A02" w14:textId="77777777" w:rsidR="005A338D" w:rsidRDefault="00E67545">
            <w:r>
              <w:rPr>
                <w:sz w:val="22"/>
              </w:rPr>
              <w:t>α (intercept)</w:t>
            </w:r>
          </w:p>
        </w:tc>
        <w:tc>
          <w:tcPr>
            <w:tcW w:w="2340" w:type="dxa"/>
          </w:tcPr>
          <w:p w14:paraId="3592D0D9" w14:textId="77777777" w:rsidR="005A338D" w:rsidRDefault="00E67545">
            <w:r>
              <w:rPr>
                <w:sz w:val="22"/>
              </w:rPr>
              <w:t>4.60</w:t>
            </w:r>
          </w:p>
        </w:tc>
        <w:tc>
          <w:tcPr>
            <w:tcW w:w="2340" w:type="dxa"/>
          </w:tcPr>
          <w:p w14:paraId="5C62F1AB" w14:textId="77777777" w:rsidR="005A338D" w:rsidRDefault="00E67545">
            <w:r>
              <w:rPr>
                <w:sz w:val="22"/>
              </w:rPr>
              <w:t>0.536</w:t>
            </w:r>
          </w:p>
        </w:tc>
        <w:tc>
          <w:tcPr>
            <w:tcW w:w="2340" w:type="dxa"/>
          </w:tcPr>
          <w:p w14:paraId="5ADE08FB" w14:textId="77777777" w:rsidR="005A338D" w:rsidRDefault="00E67545">
            <w:r>
              <w:rPr>
                <w:sz w:val="22"/>
              </w:rPr>
              <w:t>8.58</w:t>
            </w:r>
          </w:p>
        </w:tc>
      </w:tr>
      <w:tr w:rsidR="005A338D" w14:paraId="1227DA71" w14:textId="77777777">
        <w:trPr>
          <w:jc w:val="center"/>
        </w:trPr>
        <w:tc>
          <w:tcPr>
            <w:tcW w:w="2340" w:type="dxa"/>
          </w:tcPr>
          <w:p w14:paraId="3A42CD12" w14:textId="77777777" w:rsidR="005A338D" w:rsidRDefault="00E67545">
            <w:r>
              <w:rPr>
                <w:sz w:val="22"/>
              </w:rPr>
              <w:t>β_MYS</w:t>
            </w:r>
          </w:p>
        </w:tc>
        <w:tc>
          <w:tcPr>
            <w:tcW w:w="2340" w:type="dxa"/>
          </w:tcPr>
          <w:p w14:paraId="2FC203E1" w14:textId="77777777" w:rsidR="005A338D" w:rsidRDefault="00E67545">
            <w:r>
              <w:rPr>
                <w:sz w:val="22"/>
              </w:rPr>
              <w:t>0.283</w:t>
            </w:r>
          </w:p>
        </w:tc>
        <w:tc>
          <w:tcPr>
            <w:tcW w:w="2340" w:type="dxa"/>
          </w:tcPr>
          <w:p w14:paraId="411BAE7F" w14:textId="77777777" w:rsidR="005A338D" w:rsidRDefault="00E67545">
            <w:r>
              <w:rPr>
                <w:sz w:val="22"/>
              </w:rPr>
              <w:t>0.024</w:t>
            </w:r>
          </w:p>
        </w:tc>
        <w:tc>
          <w:tcPr>
            <w:tcW w:w="2340" w:type="dxa"/>
          </w:tcPr>
          <w:p w14:paraId="5E021D38" w14:textId="77777777" w:rsidR="005A338D" w:rsidRDefault="00E67545">
            <w:r>
              <w:rPr>
                <w:sz w:val="22"/>
              </w:rPr>
              <w:t>11.73</w:t>
            </w:r>
          </w:p>
        </w:tc>
      </w:tr>
      <w:tr w:rsidR="005A338D" w14:paraId="62110A78" w14:textId="77777777">
        <w:trPr>
          <w:jc w:val="center"/>
        </w:trPr>
        <w:tc>
          <w:tcPr>
            <w:tcW w:w="2340" w:type="dxa"/>
          </w:tcPr>
          <w:p w14:paraId="1DF3E683" w14:textId="77777777" w:rsidR="005A338D" w:rsidRDefault="00E67545">
            <w:r>
              <w:rPr>
                <w:sz w:val="22"/>
              </w:rPr>
              <w:t>β_LE (capped at 65)</w:t>
            </w:r>
          </w:p>
        </w:tc>
        <w:tc>
          <w:tcPr>
            <w:tcW w:w="2340" w:type="dxa"/>
          </w:tcPr>
          <w:p w14:paraId="30DEF1AE" w14:textId="77777777" w:rsidR="005A338D" w:rsidRDefault="00E67545">
            <w:r>
              <w:rPr>
                <w:sz w:val="22"/>
              </w:rPr>
              <w:t>0.077</w:t>
            </w:r>
          </w:p>
        </w:tc>
        <w:tc>
          <w:tcPr>
            <w:tcW w:w="2340" w:type="dxa"/>
          </w:tcPr>
          <w:p w14:paraId="73EA5BA0" w14:textId="77777777" w:rsidR="005A338D" w:rsidRDefault="00E67545">
            <w:r>
              <w:rPr>
                <w:sz w:val="22"/>
              </w:rPr>
              <w:t>0.010</w:t>
            </w:r>
          </w:p>
        </w:tc>
        <w:tc>
          <w:tcPr>
            <w:tcW w:w="2340" w:type="dxa"/>
          </w:tcPr>
          <w:p w14:paraId="00CA0AE8" w14:textId="77777777" w:rsidR="005A338D" w:rsidRDefault="00E67545">
            <w:r>
              <w:rPr>
                <w:sz w:val="22"/>
              </w:rPr>
              <w:t>7.72</w:t>
            </w:r>
          </w:p>
        </w:tc>
      </w:tr>
      <w:tr w:rsidR="005A338D" w14:paraId="4115E3B7" w14:textId="77777777">
        <w:trPr>
          <w:jc w:val="center"/>
        </w:trPr>
        <w:tc>
          <w:tcPr>
            <w:tcW w:w="2340" w:type="dxa"/>
          </w:tcPr>
          <w:p w14:paraId="42CB9388" w14:textId="77777777" w:rsidR="005A338D" w:rsidRDefault="00E67545">
            <w:r>
              <w:rPr>
                <w:sz w:val="22"/>
              </w:rPr>
              <w:t>β_t (time trend)</w:t>
            </w:r>
          </w:p>
        </w:tc>
        <w:tc>
          <w:tcPr>
            <w:tcW w:w="2340" w:type="dxa"/>
          </w:tcPr>
          <w:p w14:paraId="16E7A9F7" w14:textId="77777777" w:rsidR="005A338D" w:rsidRDefault="00E67545">
            <w:r>
              <w:rPr>
                <w:sz w:val="22"/>
              </w:rPr>
              <w:t>−0.830</w:t>
            </w:r>
          </w:p>
        </w:tc>
        <w:tc>
          <w:tcPr>
            <w:tcW w:w="2340" w:type="dxa"/>
          </w:tcPr>
          <w:p w14:paraId="50702F3D" w14:textId="77777777" w:rsidR="005A338D" w:rsidRDefault="00E67545">
            <w:r>
              <w:rPr>
                <w:sz w:val="22"/>
              </w:rPr>
              <w:t>0.159</w:t>
            </w:r>
          </w:p>
        </w:tc>
        <w:tc>
          <w:tcPr>
            <w:tcW w:w="2340" w:type="dxa"/>
          </w:tcPr>
          <w:p w14:paraId="7AD10E13" w14:textId="77777777" w:rsidR="005A338D" w:rsidRDefault="00E67545">
            <w:r>
              <w:rPr>
                <w:sz w:val="22"/>
              </w:rPr>
              <w:t>−5.21</w:t>
            </w:r>
          </w:p>
        </w:tc>
      </w:tr>
    </w:tbl>
    <w:p w14:paraId="7FCDC436" w14:textId="77777777" w:rsidR="005A338D" w:rsidRDefault="00E67545">
      <w:r>
        <w:rPr>
          <w:i/>
        </w:rPr>
        <w:t>R² = 0.518, N = 10,705 (201 countries, 1950–2025). Clustered standard errors (HC1) by country.</w:t>
      </w:r>
    </w:p>
    <w:p w14:paraId="13ED3891" w14:textId="77777777" w:rsidR="005A338D" w:rsidRDefault="00E67545">
      <w:pPr>
        <w:pStyle w:val="Heading2"/>
      </w:pPr>
      <w:r>
        <w:t>4.3 What This Regression Actually Measures</w:t>
      </w:r>
    </w:p>
    <w:p w14:paraId="0E9FCA5A" w14:textId="77777777" w:rsidR="005A338D" w:rsidRDefault="00E67545">
      <w:r>
        <w:t>The identifying variation comes overwhelmingly from the global development transition: nations moving from low MYS/low LE (unable to capitalize their income streams) to high MYS/high LE (able to do so). The archetype for “having arrived” is the United States of 1950.</w:t>
      </w:r>
    </w:p>
    <w:p w14:paraId="2322909A" w14:textId="77777777" w:rsidR="005A338D" w:rsidRDefault="00E67545">
      <w:r>
        <w:t>The US in 1950 had MYS of roughly 8–9 years, LE of approximately 68 (above the 65 cap), produced assets sufficient for industrialized production, and — critically — the institutional infrastructure to access international capital markets at the lowest available cost. Every other nation’s trajectory since 1950 can be read as a convergence toward or divergence from that benchmark.</w:t>
      </w:r>
    </w:p>
    <w:p w14:paraId="00121660" w14:textId="77777777" w:rsidR="005A338D" w:rsidRDefault="00E67545">
      <w:r>
        <w:lastRenderedPageBreak/>
        <w:t xml:space="preserve">β_MYS = 0.283 does not measure the </w:t>
      </w:r>
      <w:proofErr w:type="spellStart"/>
      <w:r>
        <w:t>Mincerian</w:t>
      </w:r>
      <w:proofErr w:type="spellEnd"/>
      <w:r>
        <w:t xml:space="preserve"> return to an additional year of schooling in a labor market. It measures the contribution of educational attainment to a territory’s capacity to generate capitalizable income — the kind of income that international lenders will treat as collateral for sovereign borrowing. β_LE = 0.077 (capped at 65) measures the health prerequisite: a workforce that survives through productive years. The LE cap at 65 reflects the structural reality that post-retirement longevity is a consumption good funded by wealth, not a productive input that generates capitalizable income.</w:t>
      </w:r>
    </w:p>
    <w:p w14:paraId="50F11DB7" w14:textId="77777777" w:rsidR="005A338D" w:rsidRDefault="00E67545">
      <w:r>
        <w:t>The negative time trend (β_t = −0.830) absorbs the global convergence dynamic: as more nations cross the take-off threshold, the marginal information content of MYS and LE for distinguishing “ready” from “not ready” diminishes. In 1950, MYS of 8 was a massive differentiator; by 2025, it is a global near-baseline.</w:t>
      </w:r>
    </w:p>
    <w:p w14:paraId="4D0DE234" w14:textId="77777777" w:rsidR="005A338D" w:rsidRDefault="00E67545">
      <w:pPr>
        <w:pStyle w:val="Heading2"/>
      </w:pPr>
      <w:r>
        <w:t>4.4 The World Bank Connection</w:t>
      </w:r>
    </w:p>
    <w:p w14:paraId="28ABBB82" w14:textId="77777777" w:rsidR="005A338D" w:rsidRDefault="00E67545">
      <w:r>
        <w:t xml:space="preserve">The Bank’s IDA/IBRD graduation threshold is, in effect, an empirical judgment about take-off. Nations below the threshold cannot service market-rate debt; nations above it can. FAND’s HR regression offers a structural basis for that judgment: </w:t>
      </w:r>
      <w:proofErr w:type="spellStart"/>
      <w:r>
        <w:t>HR_pc</w:t>
      </w:r>
      <w:proofErr w:type="spellEnd"/>
      <w:r>
        <w:t xml:space="preserve"> is an estimate of the human-capital component of a territory’s capacity to participate in capital markets. A nation where </w:t>
      </w:r>
      <w:proofErr w:type="spellStart"/>
      <w:r>
        <w:t>HR_pc</w:t>
      </w:r>
      <w:proofErr w:type="spellEnd"/>
      <w:r>
        <w:t xml:space="preserve"> is low relative to CW_pc is one whose income stream rests on physical or natural assets that can be depleted, expropriated, or repriced — the income is not securely grounded in human productive capacity. That is the nation the Bank was created to serve.</w:t>
      </w:r>
    </w:p>
    <w:p w14:paraId="5F45432A" w14:textId="77777777" w:rsidR="005A338D" w:rsidRDefault="00E67545">
      <w:r>
        <w:t>SI, the residual, then measures institutional quality — the gap between what a nation’s human and physical endowments should produce and what they actually do produce. DM (Deferred Maintenance) quantifies the trust-infrastructure deficit — exactly the risk premium that makes private capital markets unwilling to lend at reasonable cost, and exactly the gap that Bretton Woods intermediation is designed to bridge.</w:t>
      </w:r>
    </w:p>
    <w:p w14:paraId="7F2E9365" w14:textId="77777777" w:rsidR="005A338D" w:rsidRDefault="00E67545">
      <w:r>
        <w:br w:type="page"/>
      </w:r>
    </w:p>
    <w:p w14:paraId="38D99489" w14:textId="77777777" w:rsidR="005A338D" w:rsidRDefault="00E67545">
      <w:pPr>
        <w:pStyle w:val="Heading1"/>
      </w:pPr>
      <w:r>
        <w:lastRenderedPageBreak/>
        <w:t>5. The Two-Regime Insight: Take-Off vs. Post-Takeoff</w:t>
      </w:r>
    </w:p>
    <w:p w14:paraId="0E241594" w14:textId="77777777" w:rsidR="005A338D" w:rsidRDefault="00E67545">
      <w:pPr>
        <w:pStyle w:val="Heading2"/>
      </w:pPr>
      <w:r>
        <w:t>5.1 Why the International Coefficients Are Correct for Take-Off</w:t>
      </w:r>
    </w:p>
    <w:p w14:paraId="195C7F06" w14:textId="77777777" w:rsidR="005A338D" w:rsidRDefault="00E67545">
      <w:r>
        <w:t>The international regression is estimated across the full spectrum of development. Its coefficients are dominated by the take-off transition: nations moving from subsistence (MYS &lt; 4, LE &lt; 50, no capital-market access) to participation (MYS &gt; 8, LE &gt; 65, market access at reasonable cost). This is the transition the Bank was created to finance and the Fund was created to stabilize.</w:t>
      </w:r>
    </w:p>
    <w:p w14:paraId="0C81BBC2" w14:textId="77777777" w:rsidR="005A338D" w:rsidRDefault="00E67545">
      <w:r>
        <w:t>For nations still in this transition, the international coefficients are structurally appropriate. They answer the right question: has this territory accumulated enough human capital to sustain capitalizable income? The regression’s application at TL1 (national) is direct. Its application at TL2 and TL3 within nations still undergoing take-off is also valid — because the question of whether a province or district has crossed the threshold is a genuine one with material consequences for where development finance should flow.</w:t>
      </w:r>
    </w:p>
    <w:p w14:paraId="680CCC41" w14:textId="77777777" w:rsidR="005A338D" w:rsidRDefault="00E67545">
      <w:pPr>
        <w:pStyle w:val="Heading2"/>
      </w:pPr>
      <w:r>
        <w:t>5.2 Why Post-Takeoff Nations Need a Different Equation</w:t>
      </w:r>
    </w:p>
    <w:p w14:paraId="4E04BE17" w14:textId="77777777" w:rsidR="005A338D" w:rsidRDefault="00E67545">
      <w:r>
        <w:t>For nations that crossed the take-off threshold decades ago — the US, Japan, Germany, the Nordics, Australia — the international HR regression gives a correct but uninteresting answer: HR is approximately constant, because the take-off question has been answered. LE is above 65 everywhere. MYS varies only from roughly 11 to 14. The regression collapses to HR ≈ constant + 0.283 × MYS, with a predicted range of about 2.3× from bottom to top. That is not a bug. It is the correct answer to the question “has this place achieved take-off readiness?” — the answer is yes, uniformly.</w:t>
      </w:r>
    </w:p>
    <w:p w14:paraId="26FD6873" w14:textId="77777777" w:rsidR="005A338D" w:rsidRDefault="00E67545">
      <w:r>
        <w:t>But within post-takeoff nations, the interesting variation is in SI, not HR. And the nature of SI variation within a post-takeoff nation is fundamentally different from SI variation across nations in the take-off regime. Within the US, SI variation reflects differences in state-level institutions under a common federal framework. Within Japan, it reflects a different institutional architecture entirely. Within Germany, yet another.</w:t>
      </w:r>
    </w:p>
    <w:p w14:paraId="629CD36D" w14:textId="77777777" w:rsidR="005A338D" w:rsidRDefault="00E67545">
      <w:r>
        <w:t>This is where the Hohfeldian framework becomes essential. The jural relations that govern subnational capital-market access — the Powers of municipalities to borrow, the Privileges of states to tax, the Immunities of regions from central pre-emption — differ across sovereign constitutional structures. A US county’s access to capital markets is mediated by an entirely different set of legal relations than a German Kreis or a Japanese prefecture. The post-takeoff HR equation must therefore vary by sovereign structure, because the institutional channels through which human capital translates into capitalizable income are themselves constitutionally determined.</w:t>
      </w:r>
    </w:p>
    <w:p w14:paraId="3567D9A9" w14:textId="77777777" w:rsidR="005A338D" w:rsidRDefault="00E67545">
      <w:pPr>
        <w:pStyle w:val="Heading2"/>
      </w:pPr>
      <w:r>
        <w:lastRenderedPageBreak/>
        <w:t>5.3 Why No Single Country Is the Proof of Concept</w:t>
      </w:r>
    </w:p>
    <w:p w14:paraId="6C15F2CC" w14:textId="77777777" w:rsidR="005A338D" w:rsidRDefault="00E67545">
      <w:r>
        <w:t>We do not propose to estimate a post-takeoff HR equation from any single nation’s subnational data and then claim it is general. The US, Japan, Germany, and Sweden each embed specific Hohfeldian structures in their federal arrangements. An HR equation estimated on US state data would encode the 10th Amendment, municipal home rule, and state sovereign immunity as if they were universal features of post-takeoff governance. They are not.</w:t>
      </w:r>
    </w:p>
    <w:p w14:paraId="2110641D" w14:textId="77777777" w:rsidR="005A338D" w:rsidRDefault="00E67545">
      <w:r>
        <w:t xml:space="preserve">Instead, we propose to build a post-takeoff HR model from the pooled experience of nations clearly beyond the US-of-1950 benchmark. A composite threshold — perhaps MYS &gt; 8, LE &gt; 65, and </w:t>
      </w:r>
      <w:proofErr w:type="spellStart"/>
      <w:r>
        <w:t>PA_pc</w:t>
      </w:r>
      <w:proofErr w:type="spellEnd"/>
      <w:r>
        <w:t xml:space="preserve"> above the US 1950 level in constant dollars — would identify roughly 40–50 countries. This pool has genuine structural variation: Nordic welfare states, Anglo-Saxon market economies, East Asian developmental states, continental corporatist systems. It can support identification without encoding any single nation’s Hohfeldian structure as universal.</w:t>
      </w:r>
    </w:p>
    <w:p w14:paraId="0CDD6483" w14:textId="77777777" w:rsidR="005A338D" w:rsidRDefault="00E67545">
      <w:r>
        <w:t>Within this post-takeoff pool, different variables may carry the identification. Candidates include quality-adjusted schooling (PISA/PIAAC scores rather than years of attendance), working-age mortality (which varies meaningfully even among rich countries and is arguably not endogenous to wealth), and labor force participation among the educated.</w:t>
      </w:r>
    </w:p>
    <w:p w14:paraId="24659D01" w14:textId="77777777" w:rsidR="005A338D" w:rsidRDefault="00E67545">
      <w:pPr>
        <w:pStyle w:val="Heading2"/>
      </w:pPr>
      <w:r>
        <w:t>5.4 Where China Fits: A Classification Question</w:t>
      </w:r>
    </w:p>
    <w:p w14:paraId="6944F7AB" w14:textId="77777777" w:rsidR="005A338D" w:rsidRDefault="00E67545">
      <w:r>
        <w:t>China is the most important boundary case. Its coastal provinces (Shanghai, Guangdong, Zhejiang) are clearly post-takeoff. Its western provinces (Tibet, Guizhou, Gansu) are clearly still in the take-off regime. This makes China a terrible proof of concept for either model but a fascinating case study in the boundary itself.</w:t>
      </w:r>
    </w:p>
    <w:p w14:paraId="15DE3FD4" w14:textId="77777777" w:rsidR="005A338D" w:rsidRDefault="00E67545">
      <w:r>
        <w:t>The provincial boundary between take-off and post-takeoff within China is itself a measure of Chinese institutional maturity. It also maps directly onto the Bank’s operational question: where should development finance flow within a large middle-income country? The answer is: to the provinces that have not yet crossed the take-off threshold, using the international coefficients, not the post-takeoff equation.</w:t>
      </w:r>
    </w:p>
    <w:p w14:paraId="0A43604A" w14:textId="77777777" w:rsidR="005A338D" w:rsidRDefault="00E67545">
      <w:r>
        <w:br w:type="page"/>
      </w:r>
    </w:p>
    <w:p w14:paraId="55D1BA2B" w14:textId="77777777" w:rsidR="005A338D" w:rsidRDefault="00E67545">
      <w:pPr>
        <w:pStyle w:val="Heading1"/>
      </w:pPr>
      <w:r>
        <w:lastRenderedPageBreak/>
        <w:t>6. What AI Reviewers Said: FAND as an Agentic Navigator</w:t>
      </w:r>
    </w:p>
    <w:p w14:paraId="69DFE1CE" w14:textId="77777777" w:rsidR="005A338D" w:rsidRDefault="00E67545">
      <w:r>
        <w:t>In May 2026, the critique brief on which this guideline is based was submitted to four AI systems — Gemini, ChatGPT, Copilot, and Claude — for independent review. This was not an exercise in artificial consensus. Each system received the same brief and responded without knowledge of the others’ answers. The exercise itself illustrates a core FAND principle: navigating multiple analytical perspectives rather than choosing one.</w:t>
      </w:r>
    </w:p>
    <w:p w14:paraId="4CE6820A" w14:textId="77777777" w:rsidR="005A338D" w:rsidRDefault="00E67545">
      <w:pPr>
        <w:pStyle w:val="Heading2"/>
      </w:pPr>
      <w:r>
        <w:t>6.1 Points of Convergence</w:t>
      </w:r>
    </w:p>
    <w:p w14:paraId="42178A2E" w14:textId="77777777" w:rsidR="005A338D" w:rsidRDefault="00E67545">
      <w:r>
        <w:t>All four systems converged on three findings:</w:t>
      </w:r>
    </w:p>
    <w:p w14:paraId="1C1CEAAB" w14:textId="77777777" w:rsidR="005A338D" w:rsidRDefault="00E67545">
      <w:r>
        <w:rPr>
          <w:b/>
        </w:rPr>
        <w:t xml:space="preserve">Coefficient invariance is the weakest assumption. </w:t>
      </w:r>
      <w:r>
        <w:t>Every reviewer flagged the claim that β_MYS = 0.283 applies identically at national, state, and county levels. ChatGPT was most precise: β_MYS is probably a “development-stage summary coefficient” that bundles state capacity, disease environment, and industrial sophistication alongside schooling — not a structural biological parameter. This diagnosis actually supports the take-off interpretation: the coefficient measures take-off readiness, not marginal returns to education.</w:t>
      </w:r>
    </w:p>
    <w:p w14:paraId="1C636170" w14:textId="77777777" w:rsidR="005A338D" w:rsidRDefault="00E67545">
      <w:r>
        <w:rPr>
          <w:b/>
        </w:rPr>
        <w:t xml:space="preserve">LE saturation in the US is real. </w:t>
      </w:r>
      <w:r>
        <w:t>With LE &gt; 65 everywhere in the US since the 1980s, the health channel contributes zero cross-state variation. Copilot proposed working-age mortality (15–64 mortality rate, DALYs) as an alternative that varies meaningfully even among rich countries and is not endogenous to wealth in the way geriatric longevity is. This suggestion has legs for any post-takeoff specification.</w:t>
      </w:r>
    </w:p>
    <w:p w14:paraId="2B9DCBD2" w14:textId="77777777" w:rsidR="005A338D" w:rsidRDefault="00E67545">
      <w:r>
        <w:rPr>
          <w:b/>
        </w:rPr>
        <w:t xml:space="preserve">SI risks becoming a catch-all. </w:t>
      </w:r>
      <w:r>
        <w:t>If HR has low discriminating power within the US, SI = RW − HR absorbs all cross-state wealth variation. The reviewers asked whether this is economically interpretable or merely measurement error. Copilot recommended correlating SI with external institutional indices (WGI, V-Dem, social capital surveys) to test whether the residual has genuine institutional content.</w:t>
      </w:r>
    </w:p>
    <w:p w14:paraId="5FA111BA" w14:textId="77777777" w:rsidR="005A338D" w:rsidRDefault="00E67545">
      <w:pPr>
        <w:pStyle w:val="Heading2"/>
      </w:pPr>
      <w:r>
        <w:t>6.2 Where the Reviews Diverged</w:t>
      </w:r>
    </w:p>
    <w:p w14:paraId="4131EFA0" w14:textId="77777777" w:rsidR="005A338D" w:rsidRDefault="00E67545">
      <w:r>
        <w:rPr>
          <w:b/>
        </w:rPr>
        <w:t xml:space="preserve">Gemini </w:t>
      </w:r>
      <w:r>
        <w:t>was the most sympathetic. It framed LE inertness as a “hygiene factor” — a prerequisite for participation that is no longer a driver of marginal variation. This language comes closest to the capital-markets-access interpretation without quite articulating it. Gemini’s suggestion to use China for temporal-portability testing (estimate on 1990–2025 China data, compare to international coefficients) is operationally useful.</w:t>
      </w:r>
    </w:p>
    <w:p w14:paraId="33C2ABE9" w14:textId="77777777" w:rsidR="005A338D" w:rsidRDefault="00E67545">
      <w:r>
        <w:rPr>
          <w:b/>
        </w:rPr>
        <w:t xml:space="preserve">ChatGPT </w:t>
      </w:r>
      <w:r>
        <w:t xml:space="preserve">was the most technically thorough. It recommended piecewise MYS slopes (0–6, 6–12, 12–16), random-slope hierarchical models, and Monte Carlo error </w:t>
      </w:r>
      <w:r>
        <w:lastRenderedPageBreak/>
        <w:t>propagation for SI confidence intervals. It was also the most candid: the subnational extension is plausible for internally heterogeneous developing systems (China, India, Brazil) but conceptually strained for homogeneous rich-country systems. Its suggestion to position the framework explicitly as a structural wealth-accounting decomposition optimized for cross-development comparisons, with conditional subnational applicability depending on internal developmental dispersion, aligns closely with the two-regime framework adopted here.</w:t>
      </w:r>
    </w:p>
    <w:p w14:paraId="4E49DADE" w14:textId="77777777" w:rsidR="005A338D" w:rsidRDefault="00E67545">
      <w:r>
        <w:rPr>
          <w:b/>
        </w:rPr>
        <w:t xml:space="preserve">Copilot </w:t>
      </w:r>
      <w:r>
        <w:t>was the most critical. It called coefficient invariance “the least defensible assumption” and proposed specific alternatives: working-age mortality, PISA/PIAAC quality-adjusted schooling, and country fixed effects to isolate within-country LE variation. It also gave the clearest verdict: the framework is better suited as a between-country tool than a within-country one.</w:t>
      </w:r>
    </w:p>
    <w:p w14:paraId="025E4C98" w14:textId="77777777" w:rsidR="005A338D" w:rsidRDefault="00E67545">
      <w:r>
        <w:rPr>
          <w:b/>
        </w:rPr>
        <w:t xml:space="preserve">Claude </w:t>
      </w:r>
      <w:r>
        <w:t>(the system authoring this guideline) identified the gap that all three external reviews shared: none grasped the capital-markets-access interpretation. All treated the regression as if it were trying to estimate marginal returns to schooling and found it wanting at subnational scale. That is the correct answer to the wrong question. The regression measures take-off readiness. Within a post-takeoff nation, it should be approximately constant. The interesting variation is in SI.</w:t>
      </w:r>
    </w:p>
    <w:p w14:paraId="76AD23CE" w14:textId="77777777" w:rsidR="005A338D" w:rsidRDefault="00E67545">
      <w:pPr>
        <w:pStyle w:val="Heading2"/>
      </w:pPr>
      <w:r>
        <w:t>6.3 What the Agentic Dialogue Demonstrates</w:t>
      </w:r>
    </w:p>
    <w:p w14:paraId="6B4385B4" w14:textId="77777777" w:rsidR="005A338D" w:rsidRDefault="00E67545">
      <w:r>
        <w:t>The fact that four independent AI systems converge on the same technical diagnosis (coefficient invariance is weak, LE is inert in the US, SI absorbs everything) while missing the structural interpretation (take-off readiness, capital-market access) illustrates exactly what FAND is designed to solve. Each system applied its training to the regression and produced competent econometric critique. None connected the regression to the institutional question it was built to answer.</w:t>
      </w:r>
    </w:p>
    <w:p w14:paraId="186D4281" w14:textId="77777777" w:rsidR="005A338D" w:rsidRDefault="00E67545">
      <w:r>
        <w:t>FAND’s role is to hold the balance sheet steady while different analytical perspectives — human or artificial — interrogate it. The balance sheet is the shared reference frame. The regressions are queries. The navigator’s job is to make sure the queries are answerable against a consistent set of accounts, not to adjudicate which query is correct. This operational guideline, informed by agentic dialogue across four AI systems plus the author’s three decades of institutional experience, is itself an artifact of that navigation.</w:t>
      </w:r>
    </w:p>
    <w:p w14:paraId="329D08EF" w14:textId="77777777" w:rsidR="005A338D" w:rsidRDefault="00E67545">
      <w:r>
        <w:br w:type="page"/>
      </w:r>
    </w:p>
    <w:p w14:paraId="4D6C89E5" w14:textId="77777777" w:rsidR="005A338D" w:rsidRDefault="00E67545">
      <w:pPr>
        <w:pStyle w:val="Heading1"/>
      </w:pPr>
      <w:r>
        <w:lastRenderedPageBreak/>
        <w:t>7. Implications for Bretton Woods</w:t>
      </w:r>
    </w:p>
    <w:p w14:paraId="57F3048F" w14:textId="77777777" w:rsidR="005A338D" w:rsidRDefault="00E67545">
      <w:r>
        <w:t>This brief is unabashedly aimed at strengthening Bretton Woods. The framework proposed here would give the Bank and the Fund a common analytical language for the question they were created to answer: which territories have crossed the threshold into self-sustaining participation in international capital markets, which have not, and what does the path between those states look like?</w:t>
      </w:r>
    </w:p>
    <w:p w14:paraId="2102D125" w14:textId="77777777" w:rsidR="005A338D" w:rsidRDefault="00E67545">
      <w:pPr>
        <w:pStyle w:val="Heading2"/>
      </w:pPr>
      <w:r>
        <w:t>7.1 The Bank’s Foundational Tension</w:t>
      </w:r>
    </w:p>
    <w:p w14:paraId="041E4133" w14:textId="77777777" w:rsidR="005A338D" w:rsidRDefault="00E67545">
      <w:r>
        <w:t>The World Bank’s financial preference mechanisms were designed as if concerned with absolute development thresholds — a nation either can or cannot service debt at market rates. But operational practice treats development as relative — comparing countries to each other, ranking needs, allocating shares. FAND’s two-regime framework maps directly onto this tension: the take-off regression measures the absolute threshold; the post-takeoff regression (once developed) measures relative institutional quality among nations that have crossed it.</w:t>
      </w:r>
    </w:p>
    <w:p w14:paraId="17B80351" w14:textId="77777777" w:rsidR="005A338D" w:rsidRDefault="00E67545">
      <w:proofErr w:type="spellStart"/>
      <w:r>
        <w:t>HR_pc</w:t>
      </w:r>
      <w:proofErr w:type="spellEnd"/>
      <w:r>
        <w:t xml:space="preserve"> offers a structurally richer basis for IDA/IBRD graduation decisions than income-per-capita thresholds alone. A nation where </w:t>
      </w:r>
      <w:proofErr w:type="spellStart"/>
      <w:r>
        <w:t>HR_pc</w:t>
      </w:r>
      <w:proofErr w:type="spellEnd"/>
      <w:r>
        <w:t xml:space="preserve"> is high relative to CW_pc has its income grounded in durable human productive capacity. A nation where </w:t>
      </w:r>
      <w:proofErr w:type="spellStart"/>
      <w:r>
        <w:t>HR_pc</w:t>
      </w:r>
      <w:proofErr w:type="spellEnd"/>
      <w:r>
        <w:t xml:space="preserve"> is low is dependent on depletable or </w:t>
      </w:r>
      <w:proofErr w:type="spellStart"/>
      <w:r>
        <w:t>repriceable</w:t>
      </w:r>
      <w:proofErr w:type="spellEnd"/>
      <w:r>
        <w:t xml:space="preserve"> assets — exactly the fragility that graduation criteria should detect.</w:t>
      </w:r>
    </w:p>
    <w:p w14:paraId="09640056" w14:textId="77777777" w:rsidR="005A338D" w:rsidRDefault="00E67545">
      <w:r>
        <w:t>DM (Deferred Maintenance) offers the Bank something it has never had: a stock measure of the trust-infrastructure deficit that maps directly onto the intermediation gap the Bank exists to fill. Where DM is large, private capital markets will not lend at reasonable cost. That is where the Bank should concentrate its scarce resources.</w:t>
      </w:r>
    </w:p>
    <w:p w14:paraId="5C6DA8C6" w14:textId="77777777" w:rsidR="005A338D" w:rsidRDefault="00E67545">
      <w:pPr>
        <w:pStyle w:val="Heading2"/>
      </w:pPr>
      <w:r>
        <w:t>7.2 The Fund’s Surveillance Framework</w:t>
      </w:r>
    </w:p>
    <w:p w14:paraId="75F0A358" w14:textId="77777777" w:rsidR="005A338D" w:rsidRDefault="00E67545">
      <w:r>
        <w:t>For the IMF, a common balance-sheet language (CW = PA + NC + HR + SR − DM, extended to Net Worth via cross-border positions) provides a basis for monetary-system consensus that current surveillance frameworks lack. The identity is universal — it applies to every Fund member. Only the HR specification varies by regime. The cross-border positions (Gross Foreign Assets and Gross Foreign Liabilities, each independently observed per-side) embed the monetary relationships that the Fund monitors into the same accounting framework that the Bank uses for resource allocation.</w:t>
      </w:r>
    </w:p>
    <w:p w14:paraId="2BB76AFE" w14:textId="77777777" w:rsidR="005A338D" w:rsidRDefault="00E67545">
      <w:r>
        <w:lastRenderedPageBreak/>
        <w:t>This is not a coincidence. Bretton Woods was designed as a system. FAND proposes to treat it as one — with a shared balance sheet serving both institutions, differing only in which components each institution emphasizes.</w:t>
      </w:r>
    </w:p>
    <w:p w14:paraId="36906E36" w14:textId="77777777" w:rsidR="005A338D" w:rsidRDefault="00E67545">
      <w:r>
        <w:br w:type="page"/>
      </w:r>
    </w:p>
    <w:p w14:paraId="5DE0E296" w14:textId="77777777" w:rsidR="005A338D" w:rsidRDefault="00E67545">
      <w:pPr>
        <w:pStyle w:val="Heading1"/>
      </w:pPr>
      <w:r>
        <w:lastRenderedPageBreak/>
        <w:t>8. Operational Ruling: HR at TL2 and TL3</w:t>
      </w:r>
    </w:p>
    <w:p w14:paraId="17616D96" w14:textId="77777777" w:rsidR="005A338D" w:rsidRDefault="00E67545">
      <w:r>
        <w:rPr>
          <w:b/>
        </w:rPr>
        <w:t xml:space="preserve">OG-008 Standing Ruling: </w:t>
      </w:r>
      <w:r>
        <w:t>When FAND extends to TL2 (state) and TL3 (county) within the United States, the HR specification will not be constrained to the international Spec D-cap coefficients. The balance sheet identity (CW = PA + NC + RW) holds at every spatial scale by construction. The decomposition of RW into HR and SI is a query against the balance sheet, and that query may take a different form at subnational scale within a post-takeoff nation.</w:t>
      </w:r>
    </w:p>
    <w:p w14:paraId="0FB5C5D9" w14:textId="77777777" w:rsidR="005A338D" w:rsidRDefault="00E67545">
      <w:pPr>
        <w:pStyle w:val="Heading3"/>
      </w:pPr>
      <w:r>
        <w:t>What Is Fixed</w:t>
      </w:r>
    </w:p>
    <w:p w14:paraId="4B73CBB5" w14:textId="77777777" w:rsidR="005A338D" w:rsidRDefault="00E67545">
      <w:r>
        <w:t>The accounting identity CW = PA + NC + RW. The definition of RW as a residual. The Hohfeldian classification of HR as a Privilege (liberty), distinct from PA and NC as Rights (claim-rights). The decomposition SI = SR − DM, with the 20% SR floor. These are structural features of the balance sheet, not parameters of a regression.</w:t>
      </w:r>
    </w:p>
    <w:p w14:paraId="345AA93C" w14:textId="77777777" w:rsidR="005A338D" w:rsidRDefault="00E67545">
      <w:pPr>
        <w:pStyle w:val="Heading3"/>
      </w:pPr>
      <w:r>
        <w:t>What Is Open</w:t>
      </w:r>
    </w:p>
    <w:p w14:paraId="151B2B68" w14:textId="77777777" w:rsidR="005A338D" w:rsidRDefault="00E67545">
      <w:r>
        <w:t>The functional form of the HR decomposition within RW. The choice of explanatory variables (MYS, LE, PISA, working-age mortality, labor force participation, or others). The time window of estimation. Whether the specification is estimated from international post-takeoff pooled data, from US-only subnational data, or from a combination. These are analyst choices, and FAND’s role is to ensure they are answerable against a consistent set of accounts.</w:t>
      </w:r>
    </w:p>
    <w:p w14:paraId="4E5CE8A2" w14:textId="77777777" w:rsidR="005A338D" w:rsidRDefault="00E67545">
      <w:pPr>
        <w:pStyle w:val="Heading3"/>
      </w:pPr>
      <w:r>
        <w:t>What Is Prohibited</w:t>
      </w:r>
    </w:p>
    <w:p w14:paraId="5D555D00" w14:textId="77777777" w:rsidR="005A338D" w:rsidRDefault="00E67545">
      <w:r>
        <w:t>Using CWoN Human Capital (Jorgenson-Fraumeni) as a training target. It remains cross-validation only. Claiming any single-country subnational HR equation as universal. Treating the HR regression as the framework rather than as a query against the framework.</w:t>
      </w:r>
    </w:p>
    <w:p w14:paraId="2EDDB426" w14:textId="77777777" w:rsidR="005A338D" w:rsidRDefault="00E67545">
      <w:r>
        <w:br w:type="page"/>
      </w:r>
    </w:p>
    <w:p w14:paraId="0A54E5E8" w14:textId="77777777" w:rsidR="005A338D" w:rsidRDefault="00E67545">
      <w:pPr>
        <w:pStyle w:val="Heading1"/>
      </w:pPr>
      <w:r>
        <w:lastRenderedPageBreak/>
        <w:t>9. Toward Consensus</w:t>
      </w:r>
    </w:p>
    <w:p w14:paraId="7604AF6C" w14:textId="77777777" w:rsidR="005A338D" w:rsidRDefault="00E67545">
      <w:r>
        <w:t>The goal of this guideline is not to win an argument about the correct HR specification. It is to construct a shared analytical framework within which the Bretton Woods institutions can better allocate scarce development resources. The balance sheet is the shared ground. The regressions are the debates. The navigator’s job is to make sure the debates are grounded in consistent accounts.</w:t>
      </w:r>
    </w:p>
    <w:p w14:paraId="2CCAC0A4" w14:textId="77777777" w:rsidR="005A338D" w:rsidRDefault="00E67545">
      <w:r>
        <w:t>FAND should include all the different things different analysts might wish to put in such an equation, but not decide on one. It is a navigation tool, not a model. The take-off regression (Spec D-cap) serves its purpose at TL1 and within pre-takeoff nations. The post-takeoff regression is an open research question — one that this guideline frames but deliberately does not close.</w:t>
      </w:r>
    </w:p>
    <w:p w14:paraId="794D1789" w14:textId="77777777" w:rsidR="005A338D" w:rsidRDefault="00E67545">
      <w:r>
        <w:t>Critique that strengthens the framework is as welcome as critique that identifies its limits. The framework exists to build consensus, and consensus requires engagement from analysts who disagree about the details but share the accounting structure.</w:t>
      </w:r>
    </w:p>
    <w:sectPr w:rsidR="005A338D"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407AD" w14:textId="77777777" w:rsidR="0080354E" w:rsidRDefault="0080354E">
      <w:pPr>
        <w:spacing w:after="0" w:line="240" w:lineRule="auto"/>
      </w:pPr>
      <w:r>
        <w:separator/>
      </w:r>
    </w:p>
  </w:endnote>
  <w:endnote w:type="continuationSeparator" w:id="0">
    <w:p w14:paraId="0292BEBE" w14:textId="77777777" w:rsidR="0080354E" w:rsidRDefault="00803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D70C" w14:textId="77777777" w:rsidR="005A338D" w:rsidRDefault="00E67545">
    <w:pPr>
      <w:pStyle w:val="Footer"/>
      <w:jc w:val="center"/>
    </w:pPr>
    <w:r>
      <w:rPr>
        <w:color w:val="999999"/>
        <w:sz w:val="18"/>
      </w:rPr>
      <w:t xml:space="preserve">OconEco / FAND — Page </w:t>
    </w:r>
    <w:r>
      <w:fldChar w:fldCharType="begin"/>
    </w:r>
    <w:r>
      <w:instrText xml:space="preserve"> PAGE </w:instrText>
    </w:r>
    <w:r>
      <w:fldChar w:fldCharType="separate"/>
    </w:r>
    <w:r>
      <w:rPr>
        <w:color w:val="999999"/>
        <w:sz w:val="18"/>
      </w:rPr>
      <w:t>1</w:t>
    </w:r>
    <w:r>
      <w:rPr>
        <w:color w:val="99999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4B308" w14:textId="77777777" w:rsidR="0080354E" w:rsidRDefault="0080354E">
      <w:pPr>
        <w:spacing w:after="0" w:line="240" w:lineRule="auto"/>
      </w:pPr>
      <w:r>
        <w:separator/>
      </w:r>
    </w:p>
  </w:footnote>
  <w:footnote w:type="continuationSeparator" w:id="0">
    <w:p w14:paraId="16FB2006" w14:textId="77777777" w:rsidR="0080354E" w:rsidRDefault="008035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6C33" w14:textId="77777777" w:rsidR="005A338D" w:rsidRDefault="00E67545">
    <w:pPr>
      <w:pStyle w:val="Header"/>
      <w:jc w:val="right"/>
    </w:pPr>
    <w:r>
      <w:rPr>
        <w:i/>
        <w:color w:val="999999"/>
        <w:sz w:val="18"/>
      </w:rPr>
      <w:t>OG-008: HR in the Commonwealth Balance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E9091D"/>
    <w:multiLevelType w:val="hybridMultilevel"/>
    <w:tmpl w:val="2BC0C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0931411">
    <w:abstractNumId w:val="8"/>
  </w:num>
  <w:num w:numId="2" w16cid:durableId="1421293245">
    <w:abstractNumId w:val="6"/>
  </w:num>
  <w:num w:numId="3" w16cid:durableId="867451314">
    <w:abstractNumId w:val="5"/>
  </w:num>
  <w:num w:numId="4" w16cid:durableId="683746923">
    <w:abstractNumId w:val="4"/>
  </w:num>
  <w:num w:numId="5" w16cid:durableId="448864900">
    <w:abstractNumId w:val="7"/>
  </w:num>
  <w:num w:numId="6" w16cid:durableId="583926086">
    <w:abstractNumId w:val="3"/>
  </w:num>
  <w:num w:numId="7" w16cid:durableId="1572350890">
    <w:abstractNumId w:val="2"/>
  </w:num>
  <w:num w:numId="8" w16cid:durableId="1147865282">
    <w:abstractNumId w:val="1"/>
  </w:num>
  <w:num w:numId="9" w16cid:durableId="745036694">
    <w:abstractNumId w:val="0"/>
  </w:num>
  <w:num w:numId="10" w16cid:durableId="10370047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D1"/>
    <w:rsid w:val="00034616"/>
    <w:rsid w:val="00034C31"/>
    <w:rsid w:val="00054E6E"/>
    <w:rsid w:val="0006063C"/>
    <w:rsid w:val="000632C6"/>
    <w:rsid w:val="000676C5"/>
    <w:rsid w:val="000A2F16"/>
    <w:rsid w:val="000D6CB7"/>
    <w:rsid w:val="000E041C"/>
    <w:rsid w:val="000E4009"/>
    <w:rsid w:val="000F0D6E"/>
    <w:rsid w:val="00137615"/>
    <w:rsid w:val="00137D35"/>
    <w:rsid w:val="00141A53"/>
    <w:rsid w:val="0015074B"/>
    <w:rsid w:val="00153D22"/>
    <w:rsid w:val="0017070C"/>
    <w:rsid w:val="00171611"/>
    <w:rsid w:val="00190CC1"/>
    <w:rsid w:val="001913DE"/>
    <w:rsid w:val="00195FF3"/>
    <w:rsid w:val="001B4195"/>
    <w:rsid w:val="001B7BF7"/>
    <w:rsid w:val="001D4319"/>
    <w:rsid w:val="001E10FE"/>
    <w:rsid w:val="001E1353"/>
    <w:rsid w:val="001E5FDC"/>
    <w:rsid w:val="001F612A"/>
    <w:rsid w:val="0021563E"/>
    <w:rsid w:val="00223CC4"/>
    <w:rsid w:val="00245DD4"/>
    <w:rsid w:val="00253863"/>
    <w:rsid w:val="00257E1D"/>
    <w:rsid w:val="00277E07"/>
    <w:rsid w:val="00283476"/>
    <w:rsid w:val="0029639D"/>
    <w:rsid w:val="002B4DAA"/>
    <w:rsid w:val="002E69EE"/>
    <w:rsid w:val="002F231F"/>
    <w:rsid w:val="002F5FF2"/>
    <w:rsid w:val="00303032"/>
    <w:rsid w:val="003138C1"/>
    <w:rsid w:val="00326F90"/>
    <w:rsid w:val="00343225"/>
    <w:rsid w:val="00376B9C"/>
    <w:rsid w:val="003A1C38"/>
    <w:rsid w:val="003D06A0"/>
    <w:rsid w:val="003E057E"/>
    <w:rsid w:val="003F28DF"/>
    <w:rsid w:val="0041775C"/>
    <w:rsid w:val="00462B53"/>
    <w:rsid w:val="004630B7"/>
    <w:rsid w:val="004769C5"/>
    <w:rsid w:val="004B3C65"/>
    <w:rsid w:val="004C0195"/>
    <w:rsid w:val="004D0F0B"/>
    <w:rsid w:val="004D3540"/>
    <w:rsid w:val="004D5DF6"/>
    <w:rsid w:val="004E1F06"/>
    <w:rsid w:val="004F5CB0"/>
    <w:rsid w:val="00507615"/>
    <w:rsid w:val="005244B0"/>
    <w:rsid w:val="0053184D"/>
    <w:rsid w:val="00545F79"/>
    <w:rsid w:val="0057633E"/>
    <w:rsid w:val="00576C24"/>
    <w:rsid w:val="00577E63"/>
    <w:rsid w:val="005A338D"/>
    <w:rsid w:val="005A4F83"/>
    <w:rsid w:val="005B3D45"/>
    <w:rsid w:val="005B533E"/>
    <w:rsid w:val="005C4ED2"/>
    <w:rsid w:val="005C68BC"/>
    <w:rsid w:val="005C6E4A"/>
    <w:rsid w:val="005D491B"/>
    <w:rsid w:val="005E1BFA"/>
    <w:rsid w:val="00607B5F"/>
    <w:rsid w:val="0062219D"/>
    <w:rsid w:val="0062434C"/>
    <w:rsid w:val="006302EC"/>
    <w:rsid w:val="00654BAE"/>
    <w:rsid w:val="00671C66"/>
    <w:rsid w:val="006943B3"/>
    <w:rsid w:val="006A57D0"/>
    <w:rsid w:val="006B65AB"/>
    <w:rsid w:val="006D0449"/>
    <w:rsid w:val="006D7757"/>
    <w:rsid w:val="006E65F6"/>
    <w:rsid w:val="006F0180"/>
    <w:rsid w:val="00703508"/>
    <w:rsid w:val="00717A71"/>
    <w:rsid w:val="007725A3"/>
    <w:rsid w:val="00783A5F"/>
    <w:rsid w:val="00791C76"/>
    <w:rsid w:val="007D2716"/>
    <w:rsid w:val="007E67BE"/>
    <w:rsid w:val="0080354E"/>
    <w:rsid w:val="00822375"/>
    <w:rsid w:val="008233D0"/>
    <w:rsid w:val="00834E1E"/>
    <w:rsid w:val="00841FDC"/>
    <w:rsid w:val="00845D83"/>
    <w:rsid w:val="00857F84"/>
    <w:rsid w:val="00864821"/>
    <w:rsid w:val="008709D3"/>
    <w:rsid w:val="008A55EC"/>
    <w:rsid w:val="008B3BE6"/>
    <w:rsid w:val="008C5171"/>
    <w:rsid w:val="008D4212"/>
    <w:rsid w:val="008D48F2"/>
    <w:rsid w:val="008F4735"/>
    <w:rsid w:val="0092128F"/>
    <w:rsid w:val="00933014"/>
    <w:rsid w:val="00935447"/>
    <w:rsid w:val="009412CD"/>
    <w:rsid w:val="009B0760"/>
    <w:rsid w:val="009C606C"/>
    <w:rsid w:val="009E6EEF"/>
    <w:rsid w:val="00A00BA4"/>
    <w:rsid w:val="00A017C1"/>
    <w:rsid w:val="00A10181"/>
    <w:rsid w:val="00A11BBD"/>
    <w:rsid w:val="00A32480"/>
    <w:rsid w:val="00A329CA"/>
    <w:rsid w:val="00A43BD6"/>
    <w:rsid w:val="00A96301"/>
    <w:rsid w:val="00AA1D8D"/>
    <w:rsid w:val="00AA3BAE"/>
    <w:rsid w:val="00AB6838"/>
    <w:rsid w:val="00AC3982"/>
    <w:rsid w:val="00AD55A9"/>
    <w:rsid w:val="00AE5D67"/>
    <w:rsid w:val="00AF778A"/>
    <w:rsid w:val="00B04169"/>
    <w:rsid w:val="00B26E65"/>
    <w:rsid w:val="00B32009"/>
    <w:rsid w:val="00B3435B"/>
    <w:rsid w:val="00B35982"/>
    <w:rsid w:val="00B47730"/>
    <w:rsid w:val="00B50671"/>
    <w:rsid w:val="00B6259C"/>
    <w:rsid w:val="00B72E14"/>
    <w:rsid w:val="00B775C4"/>
    <w:rsid w:val="00BB4831"/>
    <w:rsid w:val="00BD5C52"/>
    <w:rsid w:val="00C0311A"/>
    <w:rsid w:val="00C033D4"/>
    <w:rsid w:val="00C46007"/>
    <w:rsid w:val="00C56DEB"/>
    <w:rsid w:val="00C6623F"/>
    <w:rsid w:val="00C74BAA"/>
    <w:rsid w:val="00C76708"/>
    <w:rsid w:val="00C94510"/>
    <w:rsid w:val="00CA01A3"/>
    <w:rsid w:val="00CB0664"/>
    <w:rsid w:val="00CC3E81"/>
    <w:rsid w:val="00CC56A2"/>
    <w:rsid w:val="00CC767F"/>
    <w:rsid w:val="00CF5D83"/>
    <w:rsid w:val="00D04D16"/>
    <w:rsid w:val="00D069E8"/>
    <w:rsid w:val="00D111A8"/>
    <w:rsid w:val="00D11B8A"/>
    <w:rsid w:val="00D215CF"/>
    <w:rsid w:val="00D33E01"/>
    <w:rsid w:val="00D83CBC"/>
    <w:rsid w:val="00D84A58"/>
    <w:rsid w:val="00D936B4"/>
    <w:rsid w:val="00D96031"/>
    <w:rsid w:val="00D96B32"/>
    <w:rsid w:val="00DB3037"/>
    <w:rsid w:val="00DB5A4B"/>
    <w:rsid w:val="00DE016D"/>
    <w:rsid w:val="00DE27DA"/>
    <w:rsid w:val="00DE7F35"/>
    <w:rsid w:val="00DF2AD8"/>
    <w:rsid w:val="00E30C30"/>
    <w:rsid w:val="00E32E35"/>
    <w:rsid w:val="00E35361"/>
    <w:rsid w:val="00E41851"/>
    <w:rsid w:val="00E51EB8"/>
    <w:rsid w:val="00E55EA2"/>
    <w:rsid w:val="00E61038"/>
    <w:rsid w:val="00E67545"/>
    <w:rsid w:val="00E73DB4"/>
    <w:rsid w:val="00E814E6"/>
    <w:rsid w:val="00E82441"/>
    <w:rsid w:val="00E839E2"/>
    <w:rsid w:val="00E90AA8"/>
    <w:rsid w:val="00E95049"/>
    <w:rsid w:val="00EA0FB8"/>
    <w:rsid w:val="00EB4C76"/>
    <w:rsid w:val="00EC30C7"/>
    <w:rsid w:val="00ED1668"/>
    <w:rsid w:val="00EF3229"/>
    <w:rsid w:val="00F02099"/>
    <w:rsid w:val="00F069A7"/>
    <w:rsid w:val="00F10990"/>
    <w:rsid w:val="00F21407"/>
    <w:rsid w:val="00F411FE"/>
    <w:rsid w:val="00F45B5C"/>
    <w:rsid w:val="00F51424"/>
    <w:rsid w:val="00F7515B"/>
    <w:rsid w:val="00F84E3F"/>
    <w:rsid w:val="00F97A9B"/>
    <w:rsid w:val="00FB23B3"/>
    <w:rsid w:val="00FB2BDE"/>
    <w:rsid w:val="00FB51C7"/>
    <w:rsid w:val="00FC185D"/>
    <w:rsid w:val="00FC693F"/>
    <w:rsid w:val="00FD3A8C"/>
    <w:rsid w:val="00FD43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4B3D5F7F-3543-4248-9774-8034C89E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pPr>
    <w:rPr>
      <w:rFonts w:ascii="Arial" w:hAnsi="Arial"/>
      <w:sz w:val="24"/>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E75B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769C5"/>
    <w:rPr>
      <w:color w:val="0000FF" w:themeColor="hyperlink"/>
      <w:u w:val="single"/>
    </w:rPr>
  </w:style>
  <w:style w:type="character" w:styleId="UnresolvedMention">
    <w:name w:val="Unresolved Mention"/>
    <w:basedOn w:val="DefaultParagraphFont"/>
    <w:uiPriority w:val="99"/>
    <w:semiHidden/>
    <w:unhideWhenUsed/>
    <w:rsid w:val="004769C5"/>
    <w:rPr>
      <w:color w:val="605E5C"/>
      <w:shd w:val="clear" w:color="auto" w:fill="E1DFDD"/>
    </w:rPr>
  </w:style>
  <w:style w:type="paragraph" w:styleId="Revision">
    <w:name w:val="Revision"/>
    <w:hidden/>
    <w:uiPriority w:val="99"/>
    <w:semiHidden/>
    <w:rsid w:val="002F231F"/>
    <w:pPr>
      <w:spacing w:after="0" w:line="240" w:lineRule="auto"/>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dreads.com/quotes/115907-where-is-the-wisdom-we-have-lost-in-knowledge-wher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Clothed-Robes-Sovereignty-Continental-Congress/dp/019973199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ritannica.com/topic/Leviathan-by-Hobbes" TargetMode="External"/><Relationship Id="rId4" Type="http://schemas.openxmlformats.org/officeDocument/2006/relationships/settings" Target="settings.xml"/><Relationship Id="rId9" Type="http://schemas.openxmlformats.org/officeDocument/2006/relationships/hyperlink" Target="https://documents.worldbank.org/en/publication/documents-reports/documentdetail/09905302509401442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14</Pages>
  <Words>4072</Words>
  <Characters>23217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O'Connor</cp:lastModifiedBy>
  <cp:revision>189</cp:revision>
  <dcterms:created xsi:type="dcterms:W3CDTF">2026-05-07T10:41:00Z</dcterms:created>
  <dcterms:modified xsi:type="dcterms:W3CDTF">2026-05-29T21:36:00Z</dcterms:modified>
  <cp:category/>
</cp:coreProperties>
</file>