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color w:val="666666"/>
          <w:sz w:val="20"/>
        </w:rPr>
        <w:t>FAND Operational Guideline OG-009</w:t>
      </w:r>
    </w:p>
    <w:p>
      <w:r>
        <w:rPr>
          <w:rFonts w:ascii="Arial" w:hAnsi="Arial"/>
          <w:b/>
          <w:sz w:val="36"/>
        </w:rPr>
        <w:t>HR Realization in Post-Takeoff Economies:</w:t>
      </w:r>
    </w:p>
    <w:p>
      <w:r>
        <w:rPr>
          <w:rFonts w:ascii="Arial" w:hAnsi="Arial"/>
          <w:b/>
          <w:sz w:val="36"/>
        </w:rPr>
        <w:t>Populating the What Hierarchy at TL2 and TL3</w:t>
      </w:r>
    </w:p>
    <w:p>
      <w:r>
        <w:rPr>
          <w:rFonts w:ascii="Arial" w:hAnsi="Arial"/>
          <w:i/>
          <w:sz w:val="26"/>
        </w:rPr>
        <w:t>From the Earnings Realization Ratio to a County-Level Navigation System</w:t>
      </w:r>
    </w:p>
    <w:p>
      <w:r>
        <w:rPr>
          <w:rFonts w:ascii="Arial" w:hAnsi="Arial"/>
          <w:b/>
          <w:sz w:val="22"/>
        </w:rPr>
        <w:t xml:space="preserve">Author: </w:t>
      </w:r>
      <w:r>
        <w:rPr>
          <w:rFonts w:ascii="Arial" w:hAnsi="Arial"/>
          <w:sz w:val="22"/>
        </w:rPr>
        <w:t>John O’Connor, OconEco / FAND Project</w:t>
      </w:r>
    </w:p>
    <w:p>
      <w:r>
        <w:rPr>
          <w:rFonts w:ascii="Arial" w:hAnsi="Arial"/>
          <w:b/>
          <w:sz w:val="22"/>
        </w:rPr>
        <w:t xml:space="preserve">Date: </w:t>
      </w:r>
      <w:r>
        <w:rPr>
          <w:rFonts w:ascii="Arial" w:hAnsi="Arial"/>
          <w:sz w:val="22"/>
        </w:rPr>
        <w:t>May 2026</w:t>
      </w:r>
    </w:p>
    <w:p>
      <w:pPr>
        <w:spacing w:after="400"/>
        <w:pBdr>
          <w:bottom w:val="single" w:sz="12" w:space="1" w:color="2E75B6"/>
        </w:pBdr>
      </w:pPr>
    </w:p>
    <w:p>
      <w:pPr>
        <w:pStyle w:val="Heading1"/>
      </w:pPr>
      <w:r>
        <w:t>1. Context: What OG-008 Established</w:t>
      </w:r>
    </w:p>
    <w:p>
      <w:r>
        <w:rPr>
          <w:rFonts w:ascii="Arial" w:hAnsi="Arial"/>
          <w:sz w:val="24"/>
        </w:rPr>
        <w:t>OG-008 established that FAND is a balance sheet, not a model. The international HR regression (Spec D-cap) measures take-off readiness — whether a territory has accumulated enough human capital for capital-market access. Within post-takeoff nations like the United States, where MYS and LE are saturated, the regression correctly returns HR ≈ constant. The interesting variation is in SI.</w:t>
      </w:r>
    </w:p>
    <w:p>
      <w:r>
        <w:rPr>
          <w:rFonts w:ascii="Arial" w:hAnsi="Arial"/>
          <w:sz w:val="24"/>
        </w:rPr>
        <w:t>OG-008 ruled that FAND will not be wedded to the same HR equation at TL2 and TL3. The balance sheet identity holds everywhere; the decomposition query does not have to. This guideline specifies what FAND will actually do instead.</w:t>
      </w:r>
    </w:p>
    <w:p>
      <w:r>
        <w:rPr>
          <w:rFonts w:ascii="Arial" w:hAnsi="Arial"/>
          <w:sz w:val="24"/>
        </w:rPr>
        <w:t>The guiding principle is Einstein’s razor: as complex as necessary, but no more so. Ordinary mortals put little faith in complex regression equations. A navigation system must be navigable. The KISS principle governs what follows.</w:t>
      </w:r>
    </w:p>
    <w:p>
      <w:pPr>
        <w:pStyle w:val="Heading1"/>
      </w:pPr>
      <w:r>
        <w:t>2. The Realization Gap: JF minus FAND HR</w:t>
      </w:r>
    </w:p>
    <w:p>
      <w:pPr>
        <w:pStyle w:val="Heading2"/>
      </w:pPr>
      <w:r>
        <w:t>2.1 What Jorgenson-Fraumeni Captures That Spec D-cap Does Not</w:t>
      </w:r>
    </w:p>
    <w:p>
      <w:r>
        <w:rPr>
          <w:rFonts w:ascii="Arial" w:hAnsi="Arial"/>
          <w:sz w:val="24"/>
        </w:rPr>
        <w:t>The Jorgenson-Fraumeni (JF) methodology capitalizes lifetime earnings streams. In doing so, it implicitly folds in everything that makes labor markets function: matching efficiency, occupational structure, commuting connectivity, workforce participation norms, information flows, and the institutional machinery that connects a person’s education to a wage. JF human capital is not just the stock of education — it is education plus the social apparatus that converts education into income.</w:t>
      </w:r>
    </w:p>
    <w:p>
      <w:r>
        <w:rPr>
          <w:rFonts w:ascii="Arial" w:hAnsi="Arial"/>
          <w:sz w:val="24"/>
        </w:rPr>
        <w:t>FAND’s Spec D-cap uses only MYS and LE (capped at 65). Everything else — the entire conversion apparatus — lands in SI by default. This is structurally correct for the take-off question: MYS and LE are sufficient to determine whether a territory has crossed the threshold into capital-market access. But it means that within post-takeoff nations, SI absorbs two conceptually distinct things: (a) the job-market infrastructure that enables the human Privilege to be exercised, and (b) general institutional quality that amplifies returns to all assets.</w:t>
      </w:r>
    </w:p>
    <w:p>
      <w:pPr>
        <w:pStyle w:val="Heading2"/>
      </w:pPr>
      <w:r>
        <w:t>2.2 The Observable Difference</w:t>
      </w:r>
    </w:p>
    <w:p>
      <w:r>
        <w:rPr>
          <w:rFonts w:ascii="Arial" w:hAnsi="Arial"/>
          <w:sz w:val="24"/>
        </w:rPr>
        <w:t>At TL1, the World Bank publishes JF human capital estimates (NW.HCA.PC.CD in WDI). FAND computes HR from Spec D-cap. The difference — JF_HC minus FAND_HR — is an observable stock measure of the realization premium: the value that job-market infrastructure adds beyond raw educational attainment.</w:t>
      </w:r>
    </w:p>
    <w:p>
      <w:r>
        <w:rPr>
          <w:rFonts w:ascii="Arial" w:hAnsi="Arial"/>
          <w:sz w:val="24"/>
        </w:rPr>
        <w:t>This difference is not noise. It is structurally interpretable. Countries with well-functioning labor markets (thick, diverse, transparent, connected) will show a large positive gap: JF capitalizes the earnings their job markets actually produce, while Spec D-cap sees only the education that makes those earnings possible. Countries with dysfunctional labor markets will show a smaller gap or even a negative one (where Spec D-cap over-predicts relative to what the labor market actually delivers).</w:t>
      </w:r>
    </w:p>
    <w:p>
      <w:pPr>
        <w:pStyle w:val="Heading2"/>
      </w:pPr>
      <w:r>
        <w:t>2.3 Where It Sits in the Hierarchy</w:t>
      </w:r>
    </w:p>
    <w:p>
      <w:r>
        <w:rPr>
          <w:rFonts w:ascii="Arial" w:hAnsi="Arial"/>
          <w:sz w:val="24"/>
        </w:rPr>
        <w:t>We propose to populate a new diagnostic node:</w:t>
      </w:r>
    </w:p>
    <w:p>
      <w:r>
        <w:rPr>
          <w:rFonts w:ascii="Arial" w:hAnsi="Arial"/>
          <w:b/>
          <w:sz w:val="24"/>
        </w:rPr>
        <w:t>1.1.2.1.3  HR Realization Premium (Attributed to Other Outlays)</w:t>
      </w:r>
    </w:p>
    <w:p>
      <w:r>
        <w:rPr>
          <w:rFonts w:ascii="Arial" w:hAnsi="Arial"/>
          <w:sz w:val="24"/>
        </w:rPr>
        <w:t>This node sits under Human Resources (1.1.2.1) alongside the MYS/LE-derived HR stock (1.1.2.1.1) and the labor-force-age adjustment (1.1.2.1.2). It captures the value-add of job-market functioning that JF includes and Spec D-cap excludes. At TL1, it is populated with the JF–FAND difference as a diagnostic. At TL2 and TL3, it is populated with the earnings realization ratio and its components.</w:t>
      </w:r>
    </w:p>
    <w:p>
      <w:r>
        <w:rPr>
          <w:rFonts w:ascii="Arial" w:hAnsi="Arial"/>
          <w:sz w:val="24"/>
        </w:rPr>
        <w:t>This node is not above-the-line wealth in the CW identity. It is a diagnostic decomposition within HR — explaining what portion of HR’s value is attributable to the conversion apparatus rather than the raw endowment. The balance sheet identity is undisturbed.</w:t>
      </w:r>
    </w:p>
    <w:p>
      <w:pPr>
        <w:pStyle w:val="Heading1"/>
      </w:pPr>
      <w:r>
        <w:t>3. The KISS Metric: Earnings Realization Ratio</w:t>
      </w:r>
    </w:p>
    <w:p>
      <w:pPr>
        <w:pStyle w:val="Heading2"/>
      </w:pPr>
      <w:r>
        <w:t>3.1 Definition</w:t>
      </w:r>
    </w:p>
    <w:p>
      <w:r>
        <w:rPr>
          <w:rFonts w:ascii="Arial" w:hAnsi="Arial"/>
          <w:b/>
          <w:sz w:val="24"/>
        </w:rPr>
        <w:t>ERR = Observed Earnings / Predicted Earnings given education and demographics</w:t>
      </w:r>
    </w:p>
    <w:p>
      <w:r>
        <w:rPr>
          <w:rFonts w:ascii="Arial" w:hAnsi="Arial"/>
          <w:sz w:val="24"/>
        </w:rPr>
        <w:t>For every locality-year, compute what workers should earn based on their education profile (using the national earnings-by-education gradient), then compare to what they actually earn. The ratio tells you whether the job market is converting human endowment into income.</w:t>
      </w:r>
    </w:p>
    <w:p>
      <w:r>
        <w:rPr>
          <w:rFonts w:ascii="Arial" w:hAnsi="Arial"/>
          <w:sz w:val="24"/>
        </w:rPr>
        <w:t>A county at ERR = 0.85 is suppressing realization — its workers earn 15% less than their education predicts. A county at ERR = 1.15 is amplifying realization — something about its job-market architecture adds value beyond the national norm. That is one number. Computable from ACS plus BEA back to the 1990s. Intuitive to anyone who has ever looked at a balance sheet.</w:t>
      </w:r>
    </w:p>
    <w:p>
      <w:pPr>
        <w:pStyle w:val="Heading2"/>
      </w:pPr>
      <w:r>
        <w:t>3.2 Why This Is Not a Regression</w:t>
      </w:r>
    </w:p>
    <w:p>
      <w:r>
        <w:rPr>
          <w:rFonts w:ascii="Arial" w:hAnsi="Arial"/>
          <w:sz w:val="24"/>
        </w:rPr>
        <w:t>The ERR is a ratio, not a model. It does not claim to explain why realization differs across localities. It measures the fact that it does. An analyst who sees ERR = 0.85 in a particular county and wants to know why can drill into the diagnostic indicators beneath it. But the navigation layer is the ratio. The taxonomy is the second click.</w:t>
      </w:r>
    </w:p>
    <w:p>
      <w:r>
        <w:rPr>
          <w:rFonts w:ascii="Arial" w:hAnsi="Arial"/>
          <w:sz w:val="24"/>
        </w:rPr>
        <w:t>This follows the DataBank principle: organize so people can find out; do not tell them what to think. FAND is a navigation tool, not a model.</w:t>
      </w:r>
    </w:p>
    <w:p>
      <w:pPr>
        <w:pStyle w:val="Heading2"/>
      </w:pPr>
      <w:r>
        <w:t>3.3 Computation</w:t>
      </w:r>
    </w:p>
    <w:p>
      <w:r>
        <w:rPr>
          <w:rFonts w:ascii="Arial" w:hAnsi="Arial"/>
          <w:sz w:val="24"/>
        </w:rPr>
        <w:t>Predicted earnings are computed from a national education-earnings gradient estimated from ACS microdata:</w:t>
      </w:r>
    </w:p>
    <w:p>
      <w:r>
        <w:rPr>
          <w:rFonts w:ascii="Arial" w:hAnsi="Arial"/>
          <w:sz w:val="24"/>
        </w:rPr>
        <w:t>E</w:t>
      </w:r>
      <w:r>
        <w:rPr>
          <w:rFonts w:ascii="Arial" w:hAnsi="Arial"/>
          <w:sz w:val="18"/>
          <w:vertAlign w:val="subscript"/>
        </w:rPr>
        <w:t>predicted</w:t>
      </w:r>
      <w:r>
        <w:rPr>
          <w:rFonts w:ascii="Arial" w:hAnsi="Arial"/>
          <w:sz w:val="24"/>
        </w:rPr>
        <w:t xml:space="preserve"> = Σ</w:t>
      </w:r>
      <w:r>
        <w:rPr>
          <w:rFonts w:ascii="Arial" w:hAnsi="Arial"/>
          <w:sz w:val="18"/>
          <w:vertAlign w:val="subscript"/>
        </w:rPr>
        <w:t>k</w:t>
      </w:r>
      <w:r>
        <w:rPr>
          <w:rFonts w:ascii="Arial" w:hAnsi="Arial"/>
          <w:sz w:val="24"/>
        </w:rPr>
        <w:t xml:space="preserve"> (share</w:t>
      </w:r>
      <w:r>
        <w:rPr>
          <w:rFonts w:ascii="Arial" w:hAnsi="Arial"/>
          <w:sz w:val="18"/>
          <w:vertAlign w:val="subscript"/>
        </w:rPr>
        <w:t>k</w:t>
      </w:r>
      <w:r>
        <w:rPr>
          <w:rFonts w:ascii="Arial" w:hAnsi="Arial"/>
          <w:sz w:val="24"/>
        </w:rPr>
        <w:t xml:space="preserve"> × national_earnings</w:t>
      </w:r>
      <w:r>
        <w:rPr>
          <w:rFonts w:ascii="Arial" w:hAnsi="Arial"/>
          <w:sz w:val="18"/>
          <w:vertAlign w:val="subscript"/>
        </w:rPr>
        <w:t>k</w:t>
      </w:r>
      <w:r>
        <w:rPr>
          <w:rFonts w:ascii="Arial" w:hAnsi="Arial"/>
          <w:sz w:val="24"/>
        </w:rPr>
        <w:t>)</w:t>
      </w:r>
    </w:p>
    <w:p>
      <w:r>
        <w:rPr>
          <w:rFonts w:ascii="Arial" w:hAnsi="Arial"/>
          <w:sz w:val="24"/>
        </w:rPr>
        <w:t>Where k indexes education categories (less than high school, high school, some college, bachelor’s, graduate). Observed earnings come from BEA REIS (earnings per job) or ACS median earnings by county. ERR = observed / predicted. Age-sex adjustment is a refinement, not a prerequisite.</w:t>
      </w:r>
    </w:p>
    <w:p>
      <w:pPr>
        <w:pStyle w:val="Heading1"/>
      </w:pPr>
      <w:r>
        <w:t>4. Diagnostic Taxonomy: Why ERR Varies</w:t>
      </w:r>
    </w:p>
    <w:p>
      <w:r>
        <w:rPr>
          <w:rFonts w:ascii="Arial" w:hAnsi="Arial"/>
          <w:sz w:val="24"/>
        </w:rPr>
        <w:t>Beneath the realization ratio, six functional domains explain variation. These are navigable detail, not regression variables. Each is populated from federal sources at county level.</w:t>
      </w:r>
    </w:p>
    <w:p>
      <w:pPr>
        <w:pStyle w:val="Heading2"/>
      </w:pPr>
      <w:r>
        <w:t>4.1 Market Thickness</w:t>
      </w:r>
    </w:p>
    <w:p>
      <w:r>
        <w:rPr>
          <w:rFonts w:ascii="Arial" w:hAnsi="Arial"/>
          <w:sz w:val="24"/>
        </w:rPr>
        <w:t>How many viable labor-market matches exist locally? Thin markets destroy realizability even when education is present. Indicators: jobs per working-age resident (LODES/BEA), establishments per 1,000 workers (QCEW), firm size dispersion (CBP). Available county-level from early 1990s.</w:t>
      </w:r>
    </w:p>
    <w:p>
      <w:pPr>
        <w:pStyle w:val="Heading2"/>
      </w:pPr>
      <w:r>
        <w:t>4.2 Matching Efficiency</w:t>
      </w:r>
    </w:p>
    <w:p>
      <w:r>
        <w:rPr>
          <w:rFonts w:ascii="Arial" w:hAnsi="Arial"/>
          <w:sz w:val="24"/>
        </w:rPr>
        <w:t>How quickly and accurately are workers connected to suitable jobs? Indicators: unemployment duration, hires-to-separations ratio (QWI), job-to-job flows (J2J at metro), education-job mismatch rates (ACS). County-level from early 2000s; metro-level proxies available earlier.</w:t>
      </w:r>
    </w:p>
    <w:p>
      <w:pPr>
        <w:pStyle w:val="Heading2"/>
      </w:pPr>
      <w:r>
        <w:t>4.3 Geographic Connectivity</w:t>
      </w:r>
    </w:p>
    <w:p>
      <w:r>
        <w:rPr>
          <w:rFonts w:ascii="Arial" w:hAnsi="Arial"/>
          <w:sz w:val="24"/>
        </w:rPr>
        <w:t>Can workers physically reach opportunity? The effective labor market is the commuting shed, not the county. Indicators: commuting-shed reach (LODES O-D flows), share working outside county, accessible jobs within 45 minutes, car ownership, broadband access. County-level from 2002 (LODES); decennial commuting tables from 1990.</w:t>
      </w:r>
    </w:p>
    <w:p>
      <w:pPr>
        <w:pStyle w:val="Heading2"/>
      </w:pPr>
      <w:r>
        <w:t>4.4 Workforce Mobilization</w:t>
      </w:r>
    </w:p>
    <w:p>
      <w:r>
        <w:rPr>
          <w:rFonts w:ascii="Arial" w:hAnsi="Arial"/>
          <w:sz w:val="24"/>
        </w:rPr>
        <w:t>Does the population actually participate? This is where social norms enter — not governance variables, but activation variables. Indicators: LFPR by education level, female LFPR, prime-age nonparticipation, youth NEET rates, self-employment share. County-level from ACS (mid-2000s); LAUS participation back to 1990.</w:t>
      </w:r>
    </w:p>
    <w:p>
      <w:pPr>
        <w:pStyle w:val="Heading2"/>
      </w:pPr>
      <w:r>
        <w:t>4.5 Occupational Breadth</w:t>
      </w:r>
    </w:p>
    <w:p>
      <w:r>
        <w:rPr>
          <w:rFonts w:ascii="Arial" w:hAnsi="Arial"/>
          <w:sz w:val="24"/>
        </w:rPr>
        <w:t>How many distinct ways can a given education level be deployed? Single-sector counties suppress realization; diverse counties create option value. Indicators: occupational diversity index (Shannon entropy over SOC codes), O*NET task complexity, “Gray Collar” density (Job Zones 2–3), overqualification rates. Derivable from OEWS/ACS merged with O*NET; county-level from late 1990s.</w:t>
      </w:r>
    </w:p>
    <w:p>
      <w:pPr>
        <w:pStyle w:val="Heading2"/>
      </w:pPr>
      <w:r>
        <w:t>4.6 Information Accessibility</w:t>
      </w:r>
    </w:p>
    <w:p>
      <w:r>
        <w:rPr>
          <w:rFonts w:ascii="Arial" w:hAnsi="Arial"/>
          <w:sz w:val="24"/>
        </w:rPr>
        <w:t>How visible and navigable is the labor market? The weakest category historically but conceptually central. Indicators: broadband penetration (FCC/ACS), employment services density, reemployment speed after layoffs. County-level from mid-2000s; limited proxies earlier.</w:t>
      </w:r>
    </w:p>
    <w:p>
      <w:pPr>
        <w:pStyle w:val="Heading1"/>
      </w:pPr>
      <w:r>
        <w:t>5. The Three-Test Architecture</w:t>
      </w:r>
    </w:p>
    <w:p>
      <w:r>
        <w:rPr>
          <w:rFonts w:ascii="Arial" w:hAnsi="Arial"/>
          <w:sz w:val="24"/>
        </w:rPr>
        <w:t>FAND does not build the post-takeoff specification from a single country and claim universality (OG-008, Section 5.3). Instead, we test across three contexts that span the development spectrum:</w:t>
      </w:r>
    </w:p>
    <w:p>
      <w:pPr>
        <w:pStyle w:val="Heading2"/>
      </w:pPr>
      <w:r>
        <w:t>5.1 US Counties: The Primary Test Bed</w:t>
      </w:r>
    </w:p>
    <w:p>
      <w:r>
        <w:rPr>
          <w:rFonts w:ascii="Arial" w:hAnsi="Arial"/>
          <w:sz w:val="24"/>
        </w:rPr>
        <w:t>3,258 counties with enormous labor-market variation under a common federal framework. Data infrastructure (LODES, LEHD, QCEW, ACS, O*NET, BEA REIS) is unmatched anywhere. The test: which subset of the six diagnostic domains explains the most ERR variation with the fewest variables? The goal is parsimony — identify 3–5 indicators that an ordinary analyst can interpret without econometric training.</w:t>
      </w:r>
    </w:p>
    <w:p>
      <w:r>
        <w:rPr>
          <w:rFonts w:ascii="Arial" w:hAnsi="Arial"/>
          <w:sz w:val="24"/>
        </w:rPr>
        <w:t>The US test answers: given saturated MYS and LE, what small set of job-market indicators distinguishes counties where the Privilege is well-exercised from those where it is not?</w:t>
      </w:r>
    </w:p>
    <w:p>
      <w:pPr>
        <w:pStyle w:val="Heading2"/>
      </w:pPr>
      <w:r>
        <w:t>5.2 Egypt: Applicability to the Developing World</w:t>
      </w:r>
    </w:p>
    <w:p>
      <w:r>
        <w:rPr>
          <w:rFonts w:ascii="Arial" w:hAnsi="Arial"/>
          <w:sz w:val="24"/>
        </w:rPr>
        <w:t>Egypt’s governorates span from Cairo (clearly urban, thick labor markets, high connectivity) to Upper Egypt (thin markets, limited mobility, strong cultural constraints on female participation). MYS and LE are not saturated nationally, so the take-off regression still applies at TL1. But within Cairo vs. within Asyut, the same realization question arises that the US test addresses.</w:t>
      </w:r>
    </w:p>
    <w:p>
      <w:r>
        <w:rPr>
          <w:rFonts w:ascii="Arial" w:hAnsi="Arial"/>
          <w:sz w:val="24"/>
        </w:rPr>
        <w:t>The Egypt test answers: do the indicators identified in the US transfer to a developing-country context? If ERR varies systematically with market thickness and workforce mobilization in Egyptian governorates, the diagnostic taxonomy has developing-world applicability. If it does not, the taxonomy is US-specific and we know that early.</w:t>
      </w:r>
    </w:p>
    <w:p>
      <w:r>
        <w:rPr>
          <w:rFonts w:ascii="Arial" w:hAnsi="Arial"/>
          <w:sz w:val="24"/>
        </w:rPr>
        <w:t>Egypt also provides the Gray Collar anchor: Alexandria vs. Jacksonville is a port-tourism comparison where comparable human endowments produce different incomes. The ERR framework makes this comparison precise rather than impressionistic.</w:t>
      </w:r>
    </w:p>
    <w:p>
      <w:pPr>
        <w:pStyle w:val="Heading2"/>
      </w:pPr>
      <w:r>
        <w:t>5.3 Cork, Ireland: Check on High-Income Economies</w:t>
      </w:r>
    </w:p>
    <w:p>
      <w:r>
        <w:rPr>
          <w:rFonts w:ascii="Arial" w:hAnsi="Arial"/>
          <w:sz w:val="24"/>
        </w:rPr>
        <w:t>Cork provides a European high-income check. Ireland’s county-level data (CSO) is less granular than US federal sources but sufficient for the core ERR computation (earnings by education, labor force participation, commuting patterns). Cork vs. Dublin mirrors some US coastal-vs-inland dynamics; Cork vs. Jacksonville mirrors the Gray Collar comparison from the other direction.</w:t>
      </w:r>
    </w:p>
    <w:p>
      <w:r>
        <w:rPr>
          <w:rFonts w:ascii="Arial" w:hAnsi="Arial"/>
          <w:sz w:val="24"/>
        </w:rPr>
        <w:t>The Cork test answers: do the indicators work in a high-income economy with a different Hohfeldian structure (EU labor mobility, different welfare state, different municipal powers)? If yes, the taxonomy generalizes beyond the US constitutional framework. If not, we know the Hohfeldian boundary matters and different post-takeoff specifications are needed per sovereign structure — exactly as OG-008 predicted.</w:t>
      </w:r>
    </w:p>
    <w:p>
      <w:pPr>
        <w:pStyle w:val="Heading1"/>
      </w:pPr>
      <w:r>
        <w:t>6. What Hierarchy Placement</w:t>
      </w:r>
    </w:p>
    <w:p>
      <w:r>
        <w:rPr>
          <w:rFonts w:ascii="Arial" w:hAnsi="Arial"/>
          <w:sz w:val="24"/>
        </w:rPr>
        <w:t>The proposed additions to the What Hierarchy: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5E8F0" w:val="clear"/>
          </w:tcPr>
          <w:p>
            <w:r>
              <w:rPr>
                <w:rFonts w:ascii="Arial" w:hAnsi="Arial"/>
                <w:b/>
                <w:sz w:val="20"/>
              </w:rPr>
              <w:t>What Code</w:t>
            </w:r>
          </w:p>
        </w:tc>
        <w:tc>
          <w:tcPr>
            <w:tcW w:type="dxa" w:w="3120"/>
            <w:shd w:fill="D5E8F0" w:val="clear"/>
          </w:tcPr>
          <w:p>
            <w:r>
              <w:rPr>
                <w:rFonts w:ascii="Arial" w:hAnsi="Arial"/>
                <w:b/>
                <w:sz w:val="20"/>
              </w:rPr>
              <w:t>Name</w:t>
            </w:r>
          </w:p>
        </w:tc>
        <w:tc>
          <w:tcPr>
            <w:tcW w:type="dxa" w:w="3120"/>
            <w:shd w:fill="D5E8F0" w:val="clear"/>
          </w:tcPr>
          <w:p>
            <w:r>
              <w:rPr>
                <w:rFonts w:ascii="Arial" w:hAnsi="Arial"/>
                <w:b/>
                <w:sz w:val="20"/>
              </w:rPr>
              <w:t>Content</w:t>
            </w:r>
          </w:p>
        </w:tc>
      </w:tr>
      <w:tr>
        <w:tc>
          <w:tcPr>
            <w:tcW w:type="dxa" w:w="3120"/>
          </w:tcPr>
          <w:p>
            <w:r>
              <w:rPr>
                <w:rFonts w:ascii="Arial" w:hAnsi="Arial"/>
                <w:sz w:val="20"/>
              </w:rPr>
              <w:t>1.1.2.1</w:t>
            </w:r>
          </w:p>
        </w:tc>
        <w:tc>
          <w:tcPr>
            <w:tcW w:type="dxa" w:w="3120"/>
          </w:tcPr>
          <w:p>
            <w:r>
              <w:rPr>
                <w:rFonts w:ascii="Arial" w:hAnsi="Arial"/>
                <w:sz w:val="20"/>
              </w:rPr>
              <w:t>Human Resources (parent)</w:t>
            </w:r>
          </w:p>
        </w:tc>
        <w:tc>
          <w:tcPr>
            <w:tcW w:type="dxa" w:w="3120"/>
          </w:tcPr>
          <w:p>
            <w:r>
              <w:rPr>
                <w:rFonts w:ascii="Arial" w:hAnsi="Arial"/>
                <w:sz w:val="20"/>
              </w:rPr>
              <w:t>HR from Spec D-cap (unchanged)</w:t>
            </w:r>
          </w:p>
        </w:tc>
      </w:tr>
      <w:tr>
        <w:tc>
          <w:tcPr>
            <w:tcW w:type="dxa" w:w="3120"/>
          </w:tcPr>
          <w:p>
            <w:r>
              <w:rPr>
                <w:rFonts w:ascii="Arial" w:hAnsi="Arial"/>
                <w:sz w:val="20"/>
              </w:rPr>
              <w:t>1.1.2.1.1</w:t>
            </w:r>
          </w:p>
        </w:tc>
        <w:tc>
          <w:tcPr>
            <w:tcW w:type="dxa" w:w="3120"/>
          </w:tcPr>
          <w:p>
            <w:r>
              <w:rPr>
                <w:rFonts w:ascii="Arial" w:hAnsi="Arial"/>
                <w:sz w:val="20"/>
              </w:rPr>
              <w:t>HR Stock (MYS/LE-derived)</w:t>
            </w:r>
          </w:p>
        </w:tc>
        <w:tc>
          <w:tcPr>
            <w:tcW w:type="dxa" w:w="3120"/>
          </w:tcPr>
          <w:p>
            <w:r>
              <w:rPr>
                <w:rFonts w:ascii="Arial" w:hAnsi="Arial"/>
                <w:sz w:val="20"/>
              </w:rPr>
              <w:t>exp(predicted ln RW) from Spec D-cap</w:t>
            </w:r>
          </w:p>
        </w:tc>
      </w:tr>
      <w:tr>
        <w:tc>
          <w:tcPr>
            <w:tcW w:type="dxa" w:w="3120"/>
          </w:tcPr>
          <w:p>
            <w:r>
              <w:rPr>
                <w:rFonts w:ascii="Arial" w:hAnsi="Arial"/>
                <w:sz w:val="20"/>
              </w:rPr>
              <w:t>1.1.2.1.2</w:t>
            </w:r>
          </w:p>
        </w:tc>
        <w:tc>
          <w:tcPr>
            <w:tcW w:type="dxa" w:w="3120"/>
          </w:tcPr>
          <w:p>
            <w:r>
              <w:rPr>
                <w:rFonts w:ascii="Arial" w:hAnsi="Arial"/>
                <w:sz w:val="20"/>
              </w:rPr>
              <w:t>Labor-Force-Age Adjustment</w:t>
            </w:r>
          </w:p>
        </w:tc>
        <w:tc>
          <w:tcPr>
            <w:tcW w:type="dxa" w:w="3120"/>
          </w:tcPr>
          <w:p>
            <w:r>
              <w:rPr>
                <w:rFonts w:ascii="Arial" w:hAnsi="Arial"/>
                <w:sz w:val="20"/>
              </w:rPr>
              <w:t>Demographic scaling (existing)</w:t>
            </w:r>
          </w:p>
        </w:tc>
      </w:tr>
      <w:tr>
        <w:tc>
          <w:tcPr>
            <w:tcW w:type="dxa" w:w="3120"/>
          </w:tcPr>
          <w:p>
            <w:r>
              <w:rPr>
                <w:rFonts w:ascii="Arial" w:hAnsi="Arial"/>
                <w:sz w:val="20"/>
              </w:rPr>
              <w:t>1.1.2.1.3</w:t>
            </w:r>
          </w:p>
        </w:tc>
        <w:tc>
          <w:tcPr>
            <w:tcW w:type="dxa" w:w="3120"/>
          </w:tcPr>
          <w:p>
            <w:r>
              <w:rPr>
                <w:rFonts w:ascii="Arial" w:hAnsi="Arial"/>
                <w:sz w:val="20"/>
              </w:rPr>
              <w:t>HR Realization Premium</w:t>
            </w:r>
          </w:p>
        </w:tc>
        <w:tc>
          <w:tcPr>
            <w:tcW w:type="dxa" w:w="3120"/>
          </w:tcPr>
          <w:p>
            <w:r>
              <w:rPr>
                <w:rFonts w:ascii="Arial" w:hAnsi="Arial"/>
                <w:sz w:val="20"/>
              </w:rPr>
              <w:t>JF HC minus FAND HR at TL1; ERR-derived at TL2/TL3</w:t>
            </w:r>
          </w:p>
        </w:tc>
      </w:tr>
      <w:tr>
        <w:tc>
          <w:tcPr>
            <w:tcW w:type="dxa" w:w="3120"/>
          </w:tcPr>
          <w:p>
            <w:r>
              <w:rPr>
                <w:rFonts w:ascii="Arial" w:hAnsi="Arial"/>
                <w:sz w:val="20"/>
              </w:rPr>
              <w:t>1.1.2.1.3.1</w:t>
            </w:r>
          </w:p>
        </w:tc>
        <w:tc>
          <w:tcPr>
            <w:tcW w:type="dxa" w:w="3120"/>
          </w:tcPr>
          <w:p>
            <w:r>
              <w:rPr>
                <w:rFonts w:ascii="Arial" w:hAnsi="Arial"/>
                <w:sz w:val="20"/>
              </w:rPr>
              <w:t>Earnings Realization Ratio</w:t>
            </w:r>
          </w:p>
        </w:tc>
        <w:tc>
          <w:tcPr>
            <w:tcW w:type="dxa" w:w="3120"/>
          </w:tcPr>
          <w:p>
            <w:r>
              <w:rPr>
                <w:rFonts w:ascii="Arial" w:hAnsi="Arial"/>
                <w:sz w:val="20"/>
              </w:rPr>
              <w:t>ERR = observed / predicted earnings</w:t>
            </w:r>
          </w:p>
        </w:tc>
      </w:tr>
      <w:tr>
        <w:tc>
          <w:tcPr>
            <w:tcW w:type="dxa" w:w="3120"/>
          </w:tcPr>
          <w:p>
            <w:r>
              <w:rPr>
                <w:rFonts w:ascii="Arial" w:hAnsi="Arial"/>
                <w:sz w:val="20"/>
              </w:rPr>
              <w:t>1.1.2.1.3.2</w:t>
            </w:r>
          </w:p>
        </w:tc>
        <w:tc>
          <w:tcPr>
            <w:tcW w:type="dxa" w:w="3120"/>
          </w:tcPr>
          <w:p>
            <w:r>
              <w:rPr>
                <w:rFonts w:ascii="Arial" w:hAnsi="Arial"/>
                <w:sz w:val="20"/>
              </w:rPr>
              <w:t>Market Thickness Index</w:t>
            </w:r>
          </w:p>
        </w:tc>
        <w:tc>
          <w:tcPr>
            <w:tcW w:type="dxa" w:w="3120"/>
          </w:tcPr>
          <w:p>
            <w:r>
              <w:rPr>
                <w:rFonts w:ascii="Arial" w:hAnsi="Arial"/>
                <w:sz w:val="20"/>
              </w:rPr>
              <w:t>Jobs/worker, establishment density</w:t>
            </w:r>
          </w:p>
        </w:tc>
      </w:tr>
      <w:tr>
        <w:tc>
          <w:tcPr>
            <w:tcW w:type="dxa" w:w="3120"/>
          </w:tcPr>
          <w:p>
            <w:r>
              <w:rPr>
                <w:rFonts w:ascii="Arial" w:hAnsi="Arial"/>
                <w:sz w:val="20"/>
              </w:rPr>
              <w:t>1.1.2.1.3.3</w:t>
            </w:r>
          </w:p>
        </w:tc>
        <w:tc>
          <w:tcPr>
            <w:tcW w:type="dxa" w:w="3120"/>
          </w:tcPr>
          <w:p>
            <w:r>
              <w:rPr>
                <w:rFonts w:ascii="Arial" w:hAnsi="Arial"/>
                <w:sz w:val="20"/>
              </w:rPr>
              <w:t>Workforce Mobilization Index</w:t>
            </w:r>
          </w:p>
        </w:tc>
        <w:tc>
          <w:tcPr>
            <w:tcW w:type="dxa" w:w="3120"/>
          </w:tcPr>
          <w:p>
            <w:r>
              <w:rPr>
                <w:rFonts w:ascii="Arial" w:hAnsi="Arial"/>
                <w:sz w:val="20"/>
              </w:rPr>
              <w:t>LFPR by education, prime-age participation</w:t>
            </w:r>
          </w:p>
        </w:tc>
      </w:tr>
      <w:tr>
        <w:tc>
          <w:tcPr>
            <w:tcW w:type="dxa" w:w="3120"/>
          </w:tcPr>
          <w:p>
            <w:r>
              <w:rPr>
                <w:rFonts w:ascii="Arial" w:hAnsi="Arial"/>
                <w:sz w:val="20"/>
              </w:rPr>
              <w:t>1.1.2.1.3.4</w:t>
            </w:r>
          </w:p>
        </w:tc>
        <w:tc>
          <w:tcPr>
            <w:tcW w:type="dxa" w:w="3120"/>
          </w:tcPr>
          <w:p>
            <w:r>
              <w:rPr>
                <w:rFonts w:ascii="Arial" w:hAnsi="Arial"/>
                <w:sz w:val="20"/>
              </w:rPr>
              <w:t>Geographic Connectivity Index</w:t>
            </w:r>
          </w:p>
        </w:tc>
        <w:tc>
          <w:tcPr>
            <w:tcW w:type="dxa" w:w="3120"/>
          </w:tcPr>
          <w:p>
            <w:r>
              <w:rPr>
                <w:rFonts w:ascii="Arial" w:hAnsi="Arial"/>
                <w:sz w:val="20"/>
              </w:rPr>
              <w:t>Commuting-shed reach, job accessibility</w:t>
            </w:r>
          </w:p>
        </w:tc>
      </w:tr>
    </w:tbl>
    <w:p>
      <w:pPr>
        <w:spacing w:before="240"/>
      </w:pPr>
      <w:r>
        <w:rPr>
          <w:rFonts w:ascii="Arial" w:hAnsi="Arial"/>
          <w:b/>
          <w:sz w:val="22"/>
        </w:rPr>
        <w:t xml:space="preserve">Note: </w:t>
      </w:r>
      <w:r>
        <w:rPr>
          <w:rFonts w:ascii="Arial" w:hAnsi="Arial"/>
          <w:sz w:val="22"/>
        </w:rPr>
        <w:t>1.1.2.1.3.2 through 1.1.2.1.3.4 are diagnostic children of the ERR — they explain variation but do not enter the balance sheet identity. Only 1.1.2.1.3 itself carries a stock value (the realization premium). The diagnostic children are navigable detail, not above-the-line wealth.</w:t>
      </w:r>
    </w:p>
    <w:p>
      <w:pPr>
        <w:pStyle w:val="Heading1"/>
      </w:pPr>
      <w:r>
        <w:t>7. Operational Protocol</w:t>
      </w:r>
    </w:p>
    <w:p>
      <w:pPr>
        <w:pStyle w:val="Heading2"/>
      </w:pPr>
      <w:r>
        <w:t>7.1 Sequence</w:t>
      </w:r>
    </w:p>
    <w:p>
      <w:r>
        <w:rPr>
          <w:rFonts w:ascii="Arial" w:hAnsi="Arial"/>
          <w:b/>
          <w:sz w:val="24"/>
        </w:rPr>
        <w:t xml:space="preserve">TL1 (immediate): </w:t>
      </w:r>
      <w:r>
        <w:rPr>
          <w:rFonts w:ascii="Arial" w:hAnsi="Arial"/>
          <w:sz w:val="24"/>
        </w:rPr>
        <w:t>Step 1: Compute JF HC minus FAND HR at TL1 for all countries where World Bank publishes JF estimates. This is the international realization premium. Populate 1.1.2.1.3 as a diagnostic. No regression required — it is a difference of two published quantities.</w:t>
      </w:r>
    </w:p>
    <w:p>
      <w:r>
        <w:rPr>
          <w:rFonts w:ascii="Arial" w:hAnsi="Arial"/>
          <w:b/>
          <w:sz w:val="24"/>
        </w:rPr>
        <w:t xml:space="preserve">TL3 US (test bed): </w:t>
      </w:r>
      <w:r>
        <w:rPr>
          <w:rFonts w:ascii="Arial" w:hAnsi="Arial"/>
          <w:sz w:val="24"/>
        </w:rPr>
        <w:t>Step 2: Compute ERR for all US counties from ACS education shares and BEA REIS earnings. This is a ratio — no regression. Populate 1.1.2.1.3.1 in the US TL3 balance sheet. Examine which of the six diagnostic domains correlates most strongly with ERR variation. Identify the parsimonious 3–5 indicators.</w:t>
      </w:r>
    </w:p>
    <w:p>
      <w:r>
        <w:rPr>
          <w:rFonts w:ascii="Arial" w:hAnsi="Arial"/>
          <w:b/>
          <w:sz w:val="24"/>
        </w:rPr>
        <w:t xml:space="preserve">Egypt and Cork (validation): </w:t>
      </w:r>
      <w:r>
        <w:rPr>
          <w:rFonts w:ascii="Arial" w:hAnsi="Arial"/>
          <w:sz w:val="24"/>
        </w:rPr>
        <w:t>Step 3: With selected indicators in hand, compute ERR for Egyptian governorates (CAPMAS data) and Irish counties (CSO data). Test whether the same indicators explain ERR variation in these contexts. Report results — do not force universality.</w:t>
      </w:r>
    </w:p>
    <w:p>
      <w:r>
        <w:rPr>
          <w:rFonts w:ascii="Arial" w:hAnsi="Arial"/>
          <w:b/>
          <w:sz w:val="24"/>
        </w:rPr>
        <w:t xml:space="preserve">Decision (deferred): </w:t>
      </w:r>
      <w:r>
        <w:rPr>
          <w:rFonts w:ascii="Arial" w:hAnsi="Arial"/>
          <w:sz w:val="24"/>
        </w:rPr>
        <w:t>Step 4: Based on the three-test results, decide whether a modified HR specification (adding 1–3 realization indicators to MYS and LE) improves the decomposition at TL2/TL3, or whether the ERR diagnostic is sufficient as a navigation layer without modifying the regression. Either outcome is acceptable. The balance sheet identity is undisturbed in both cases.</w:t>
      </w:r>
    </w:p>
    <w:p>
      <w:pPr>
        <w:pStyle w:val="Heading2"/>
      </w:pPr>
      <w:r>
        <w:t>7.2 What Is Fixed</w:t>
      </w:r>
    </w:p>
    <w:p>
      <w:r>
        <w:rPr>
          <w:rFonts w:ascii="Arial" w:hAnsi="Arial"/>
          <w:sz w:val="24"/>
        </w:rPr>
        <w:t>The balance sheet identity CW = PA + NC + RW. The Spec D-cap coefficients at TL1. The Hohfeldian classification of HR as a Privilege. The principle that FAND is a navigation tool, not a model.</w:t>
      </w:r>
    </w:p>
    <w:p>
      <w:pPr>
        <w:pStyle w:val="Heading2"/>
      </w:pPr>
      <w:r>
        <w:t>7.3 What Is Open</w:t>
      </w:r>
    </w:p>
    <w:p>
      <w:r>
        <w:rPr>
          <w:rFonts w:ascii="Arial" w:hAnsi="Arial"/>
          <w:sz w:val="24"/>
        </w:rPr>
        <w:t>Whether the realization indicators enter a revised HR regression at TL2/TL3, or remain as diagnostic detail beneath an unchanged HR. Which 3–5 indicators survive the parsimony test. Whether the US-derived indicators transfer to Egypt and Cork.</w:t>
      </w:r>
    </w:p>
    <w:p>
      <w:pPr>
        <w:pStyle w:val="Heading2"/>
      </w:pPr>
      <w:r>
        <w:t>7.4 What Is Prohibited</w:t>
      </w:r>
    </w:p>
    <w:p>
      <w:r>
        <w:rPr>
          <w:rFonts w:ascii="Arial" w:hAnsi="Arial"/>
          <w:sz w:val="24"/>
        </w:rPr>
        <w:t>Building a 15-variable regression and calling it HR. Using any indicator that moves returns to PA and NC as much as to HR (that belongs in SI). Claiming universality from a single-country test. Populating the hierarchy with indicators that require econometric training to interpret.</w:t>
      </w:r>
    </w:p>
    <w:p>
      <w:pPr>
        <w:pStyle w:val="Heading1"/>
      </w:pPr>
      <w:r>
        <w:t>8. The Gordian Knot</w:t>
      </w:r>
    </w:p>
    <w:p>
      <w:r>
        <w:rPr>
          <w:rFonts w:ascii="Arial" w:hAnsi="Arial"/>
          <w:sz w:val="24"/>
        </w:rPr>
        <w:t>The temptation in post-takeoff HR specification is to build an elaborate model. Four independent AI systems, given the same brief, all moved in that direction — proposing 6–7 conceptual categories, 20+ indicators, hierarchical random-slope regressions, Monte Carlo error propagation. The instinct is to explain. The discipline is to navigate.</w:t>
      </w:r>
    </w:p>
    <w:p>
      <w:r>
        <w:rPr>
          <w:rFonts w:ascii="Arial" w:hAnsi="Arial"/>
          <w:sz w:val="24"/>
        </w:rPr>
        <w:t>The Gordian knot is cut by one insight: FAND does not need to model why job markets work differently across localities. It needs to measure the fact that they do (the ERR), store enough diagnostic detail to let an analyst investigate why (the six domains), and test whether a small subset of that detail is robust enough to enter a revised specification if warranted (the three-test architecture).</w:t>
      </w:r>
    </w:p>
    <w:p>
      <w:r>
        <w:rPr>
          <w:rFonts w:ascii="Arial" w:hAnsi="Arial"/>
          <w:sz w:val="24"/>
        </w:rPr>
        <w:t>Things should be as complex as necessary, but no more so. The balance sheet tells you what a territory has. The ERR tells you how well it uses what it has. The diagnostic taxonomy tells you where to look if you want to know more. That is a navigation system ordinary mortals can handle.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OconEco / FAND — Page </w:t>
    </w:r>
    <w:fldSimple w:instr=" PAGE ">
      <w:r>
        <w:rPr>
          <w:sz w:val="18"/>
          <w:color w:val="999999"/>
          <w:rFonts w:ascii="Arial" w:hAnsi="Arial"/>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999999"/>
        <w:sz w:val="18"/>
      </w:rPr>
      <w:t>OG-009: HR Realization in Post-Takeoff Economies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