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b/>
          <w:bCs/>
          <w:color w:val="1F4E79"/>
          <w:sz w:val="56"/>
          <w:szCs w:val="56"/>
        </w:rPr>
        <w:t xml:space="preserve">OG-010</w:t>
      </w:r>
    </w:p>
    <w:p>
      <w:pPr>
        <w:spacing w:after="200"/>
      </w:pPr>
      <w:r>
        <w:rPr>
          <w:rFonts w:ascii="Arial" w:cs="Arial" w:eastAsia="Arial" w:hAnsi="Arial"/>
          <w:b/>
          <w:bCs/>
          <w:color w:val="2E75B6"/>
          <w:sz w:val="40"/>
          <w:szCs w:val="40"/>
        </w:rPr>
        <w:t xml:space="preserve">Price Signals and Payments Regimes</w:t>
      </w:r>
    </w:p>
    <w:p>
      <w:pPr>
        <w:spacing w:after="120"/>
      </w:pPr>
      <w:r>
        <w:rPr>
          <w:rFonts w:ascii="Arial" w:cs="Arial" w:eastAsia="Arial" w:hAnsi="Arial"/>
          <w:i/>
          <w:iCs/>
          <w:color w:val="666666"/>
          <w:sz w:val="28"/>
          <w:szCs w:val="28"/>
        </w:rPr>
        <w:t xml:space="preserve">The Gold/Oil Ratio as Seismograph of the Global Bretton Woods</w:t>
      </w:r>
    </w:p>
    <w:p>
      <w:pPr>
        <w:pBdr>
          <w:top w:val="single" w:color="2E75B6" w:sz="6" w:space="8"/>
        </w:pBdr>
        <w:spacing w:after="120" w:before="600"/>
      </w:pPr>
      <w:r>
        <w:rPr>
          <w:rFonts w:ascii="Arial" w:cs="Arial" w:eastAsia="Arial" w:hAnsi="Arial"/>
          <w:color w:val="666666"/>
          <w:sz w:val="22"/>
          <w:szCs w:val="22"/>
        </w:rPr>
        <w:t xml:space="preserve">Operational Guidelines — FAND Product Family</w:t>
      </w:r>
    </w:p>
    <w:p>
      <w:pPr>
        <w:spacing w:after="80"/>
      </w:pPr>
      <w:r>
        <w:rPr>
          <w:rFonts w:ascii="Arial" w:cs="Arial" w:eastAsia="Arial" w:hAnsi="Arial"/>
          <w:sz w:val="22"/>
          <w:szCs w:val="22"/>
        </w:rPr>
        <w:t xml:space="preserve">John O’Connor  |  OconEco  |  April 2026</w:t>
      </w:r>
    </w:p>
    <w:p>
      <w:pPr>
        <w:spacing w:after="80"/>
      </w:pPr>
      <w:r>
        <w:rPr>
          <w:rFonts w:ascii="Arial" w:cs="Arial" w:eastAsia="Arial" w:hAnsi="Arial"/>
          <w:i/>
          <w:iCs/>
          <w:color w:val="C00000"/>
          <w:sz w:val="20"/>
          <w:szCs w:val="20"/>
        </w:rPr>
        <w:t xml:space="preserve">DRAFT — For three-way iteration (Claude / Gemini / Author)</w:t>
      </w:r>
    </w:p>
    <w:p>
      <w:pPr>
        <w:spacing w:before="400"/>
      </w:pPr>
      <w:r>
        <w:rPr>
          <w:rFonts w:ascii="Arial" w:cs="Arial" w:eastAsia="Arial" w:hAnsi="Arial"/>
          <w:color w:val="666666"/>
          <w:sz w:val="18"/>
          <w:szCs w:val="18"/>
        </w:rPr>
        <w:t xml:space="preserve">Cross-references: OG-007 (Cross-Border NIIP), OG-008 (SLO Mapping), MEP Redux</w:t>
      </w:r>
    </w:p>
    <w:p>
      <w:pPr>
        <w:sectPr>
          <w:pgSz w:w="12240" w:h="15840" w:orient="portrait"/>
          <w:pgMar w:top="2880" w:right="1440" w:bottom="1440" w:left="1440" w:header="708" w:footer="708" w:gutter="0"/>
          <w:pgNumType/>
          <w:docGrid w:linePitch="360"/>
        </w:sectPr>
      </w:pPr>
    </w:p>
    <w:p>
      <w:pPr>
        <w:pStyle w:val="Heading1"/>
        <w:spacing w:after="160" w:before="360"/>
      </w:pPr>
      <w:r>
        <w:rPr>
          <w:rFonts w:ascii="Arial" w:cs="Arial" w:eastAsia="Arial" w:hAnsi="Arial"/>
          <w:b/>
          <w:bCs/>
          <w:color w:val="1F4E79"/>
          <w:sz w:val="32"/>
          <w:szCs w:val="32"/>
        </w:rPr>
        <w:t xml:space="preserve">1. The Gold/Oil Ratio as Payments Seismograph</w:t>
      </w:r>
    </w:p>
    <w:p>
      <w:pPr>
        <w:spacing w:after="180"/>
        <w:jc w:val="left"/>
      </w:pPr>
      <w:r>
        <w:rPr>
          <w:rFonts w:ascii="Arial" w:cs="Arial" w:eastAsia="Arial" w:hAnsi="Arial"/>
          <w:sz w:val="22"/>
          <w:szCs w:val="22"/>
        </w:rPr>
        <w:t xml:space="preserve">The gold/oil price ratio—barrels of crude per troy ounce of gold—is conventionally treated as a commodity-market indicator. This document argues it is something more fundamental: a seismograph of the international payments regime. Each phase of the post-1944 order produces a characteristic ratio regime, and the methodology a wealth-measurement system adopts determines which regimes it can see.</w:t>
      </w:r>
    </w:p>
    <w:p>
      <w:pPr>
        <w:spacing w:after="180"/>
        <w:jc w:val="left"/>
      </w:pPr>
      <w:r>
        <w:rPr>
          <w:rFonts w:ascii="Arial" w:cs="Arial" w:eastAsia="Arial" w:hAnsi="Arial"/>
          <w:sz w:val="22"/>
          <w:szCs w:val="22"/>
        </w:rPr>
        <w:t xml:space="preserve">FAND uses primary commodity prices (USGS, EIA, FAO) applied uniformly to all producing countries. Its Gold/Oil ratio tracks the market because FAND preserves the price signal as a visible factor in the three-halo valuation identity V = P × Q. The World Bank’s Changing Wealth of Nations (CWoN), by contrast, embeds prices inside a rent-capitalization framework that absorbs price variation into reserve volumes, depletion schedules, and discount rates. The result is an implicit price path that compresses a 4.8× market swing into a 1.5× band—and that begins only in 1995, erasing three decades of payments-regime history.</w:t>
      </w:r>
    </w:p>
    <w:p>
      <w:pPr>
        <w:spacing w:after="180"/>
        <w:jc w:val="left"/>
      </w:pPr>
      <w:r>
        <w:rPr>
          <w:rFonts w:ascii="Arial" w:cs="Arial" w:eastAsia="Arial" w:hAnsi="Arial"/>
          <w:sz w:val="22"/>
          <w:szCs w:val="22"/>
        </w:rPr>
        <w:t xml:space="preserve">The 1995 start date is not incidental. It marks the year the original </w:t>
      </w:r>
      <w:r>
        <w:rPr>
          <w:rFonts w:ascii="Arial" w:cs="Arial" w:eastAsia="Arial" w:hAnsi="Arial"/>
          <w:i/>
          <w:iCs/>
          <w:sz w:val="22"/>
          <w:szCs w:val="22"/>
        </w:rPr>
        <w:t xml:space="preserve">Monitoring Environmental Progress</w:t>
      </w:r>
      <w:r>
        <w:rPr>
          <w:rFonts w:ascii="Arial" w:cs="Arial" w:eastAsia="Arial" w:hAnsi="Arial"/>
          <w:sz w:val="22"/>
          <w:szCs w:val="22"/>
        </w:rPr>
        <w:t xml:space="preserve"> (MEP) was published—the first global wealth measurement exercise that included the newly independent states of the former Soviet Union and Yugoslavia as they were assessed for Bretton Woods membership.</w:t>
      </w:r>
      <w:r>
        <w:rPr>
          <w:rFonts w:ascii="Arial" w:cs="Arial" w:eastAsia="Arial" w:hAnsi="Arial"/>
          <w:sz w:val="22"/>
          <w:szCs w:val="22"/>
        </w:rPr>
      </w:r>
      <w:r>
        <w:rPr>
          <w:rFonts w:ascii="Arial" w:cs="Arial" w:eastAsia="Arial" w:hAnsi="Arial"/>
          <w:sz w:val="22"/>
          <w:szCs w:val="22"/>
        </w:rPr>
        <w:t xml:space="preserve"> For FAND, 1995 is thus the beginning of the truly </w:t>
      </w:r>
      <w:r>
        <w:rPr>
          <w:rFonts w:ascii="Arial" w:cs="Arial" w:eastAsia="Arial" w:hAnsi="Arial"/>
          <w:i/>
          <w:iCs/>
          <w:sz w:val="22"/>
          <w:szCs w:val="22"/>
        </w:rPr>
        <w:t xml:space="preserve">global</w:t>
      </w:r>
      <w:r>
        <w:rPr>
          <w:rFonts w:ascii="Arial" w:cs="Arial" w:eastAsia="Arial" w:hAnsi="Arial"/>
          <w:sz w:val="22"/>
          <w:szCs w:val="22"/>
        </w:rPr>
        <w:t xml:space="preserve"> Bretton Woods: the moment the membership expanded to near-universality. CWoN’s clock starts here not for technical reasons but because the institution chose not to document what the transition cost those nations in per capita wealth. The omission is itself an instance of the information asymmetry this document examines.</w:t>
      </w:r>
    </w:p>
    <w:p>
      <w:pPr>
        <w:pStyle w:val="Heading1"/>
        <w:spacing w:after="160" w:before="360"/>
      </w:pPr>
      <w:r>
        <w:rPr>
          <w:rFonts w:ascii="Arial" w:cs="Arial" w:eastAsia="Arial" w:hAnsi="Arial"/>
          <w:b/>
          <w:bCs/>
          <w:color w:val="1F4E79"/>
          <w:sz w:val="32"/>
          <w:szCs w:val="32"/>
        </w:rPr>
        <w:t xml:space="preserve">2. Four Phases of the Global Bretton Woods</w:t>
      </w:r>
    </w:p>
    <w:p>
      <w:pPr>
        <w:spacing w:after="180"/>
        <w:jc w:val="left"/>
      </w:pPr>
      <w:r>
        <w:rPr>
          <w:rFonts w:ascii="Arial" w:cs="Arial" w:eastAsia="Arial" w:hAnsi="Arial"/>
          <w:sz w:val="22"/>
          <w:szCs w:val="22"/>
        </w:rPr>
        <w:t xml:space="preserve">The O’Connor Framework identifies four phases in the post-1944 international payments order, each defined by which actor holds residual control rights over the terms of exchange between current-account flows (trade in goods, principally oil) and capital-account stocks (reserves, principally gold and its successors). The framework draws on Hohfeld’s jural correlatives</w:t>
      </w:r>
      <w:r>
        <w:rPr>
          <w:rFonts w:ascii="Arial" w:cs="Arial" w:eastAsia="Arial" w:hAnsi="Arial"/>
          <w:sz w:val="22"/>
          <w:szCs w:val="22"/>
        </w:rPr>
      </w:r>
      <w:r>
        <w:rPr>
          <w:rFonts w:ascii="Arial" w:cs="Arial" w:eastAsia="Arial" w:hAnsi="Arial"/>
          <w:sz w:val="22"/>
          <w:szCs w:val="22"/>
        </w:rPr>
        <w:t xml:space="preserve">—claim-right/duty, power/liability—to characterize the structural position of the dominant actor in each phase.</w:t>
      </w:r>
    </w:p>
    <w:p>
      <w:pPr>
        <w:pStyle w:val="Heading2"/>
        <w:spacing w:after="160" w:before="240"/>
      </w:pPr>
      <w:r>
        <w:rPr>
          <w:rFonts w:ascii="Arial" w:cs="Arial" w:eastAsia="Arial" w:hAnsi="Arial"/>
          <w:b/>
          <w:bCs/>
          <w:color w:val="1F4E79"/>
          <w:sz w:val="28"/>
          <w:szCs w:val="28"/>
        </w:rPr>
        <w:t xml:space="preserve">2.1  BWI: The Gold Standard (1944–1971)</w:t>
      </w:r>
    </w:p>
    <w:p>
      <w:pPr>
        <w:spacing w:after="180"/>
        <w:jc w:val="left"/>
      </w:pPr>
      <w:r>
        <w:rPr>
          <w:rFonts w:ascii="Arial" w:cs="Arial" w:eastAsia="Arial" w:hAnsi="Arial"/>
          <w:sz w:val="22"/>
          <w:szCs w:val="22"/>
        </w:rPr>
        <w:t xml:space="preserve">Under Bretton Woods proper, gold was administratively fixed at $35 per troy ounce. The Gold/Oil ratio’s entire variation was therefore oil-price-driven: a narrow band of 16–26 bbl/oz in which the denominator was set by sovereign commitment. The ratio was not a two-price signal but a one-price signal dressed as two.</w:t>
      </w:r>
    </w:p>
    <w:p>
      <w:pPr>
        <w:spacing w:after="180"/>
        <w:jc w:val="left"/>
      </w:pPr>
      <w:r>
        <w:rPr>
          <w:rFonts w:ascii="Arial" w:cs="Arial" w:eastAsia="Arial" w:hAnsi="Arial"/>
          <w:sz w:val="22"/>
          <w:szCs w:val="22"/>
        </w:rPr>
        <w:t xml:space="preserve">The Hohfeldian structure: the United States held a </w:t>
      </w:r>
      <w:r>
        <w:rPr>
          <w:rFonts w:ascii="Arial" w:cs="Arial" w:eastAsia="Arial" w:hAnsi="Arial"/>
          <w:i/>
          <w:iCs/>
          <w:sz w:val="22"/>
          <w:szCs w:val="22"/>
        </w:rPr>
        <w:t xml:space="preserve">power</w:t>
      </w:r>
      <w:r>
        <w:rPr>
          <w:rFonts w:ascii="Arial" w:cs="Arial" w:eastAsia="Arial" w:hAnsi="Arial"/>
          <w:sz w:val="22"/>
          <w:szCs w:val="22"/>
        </w:rPr>
        <w:t xml:space="preserve"> over the numeraire (dollar-gold parity), imposing a correlative </w:t>
      </w:r>
      <w:r>
        <w:rPr>
          <w:rFonts w:ascii="Arial" w:cs="Arial" w:eastAsia="Arial" w:hAnsi="Arial"/>
          <w:i/>
          <w:iCs/>
          <w:sz w:val="22"/>
          <w:szCs w:val="22"/>
        </w:rPr>
        <w:t xml:space="preserve">liability</w:t>
      </w:r>
      <w:r>
        <w:rPr>
          <w:rFonts w:ascii="Arial" w:cs="Arial" w:eastAsia="Arial" w:hAnsi="Arial"/>
          <w:sz w:val="22"/>
          <w:szCs w:val="22"/>
        </w:rPr>
        <w:t xml:space="preserve"> on every member state to denominate both current-account trade and capital-account reserves in a currency whose anchor the US alone controlled. The “raider” in BWI was the US itself, exploiting the exorbitant privilege of providing the unit of account. The privilege was sustainable so long as US gold reserves exceeded foreign dollar claims—a condition that eroded throughout the 1960s.</w:t>
      </w:r>
    </w:p>
    <w:p>
      <w:pPr>
        <w:pStyle w:val="Heading2"/>
        <w:spacing w:after="160" w:before="240"/>
      </w:pPr>
      <w:r>
        <w:rPr>
          <w:rFonts w:ascii="Arial" w:cs="Arial" w:eastAsia="Arial" w:hAnsi="Arial"/>
          <w:b/>
          <w:bCs/>
          <w:color w:val="1F4E79"/>
          <w:sz w:val="28"/>
          <w:szCs w:val="28"/>
        </w:rPr>
        <w:t xml:space="preserve">2.2  BWII: Corporate Raiders and OPEC (1974–1995)</w:t>
      </w:r>
    </w:p>
    <w:p>
      <w:pPr>
        <w:spacing w:after="180"/>
        <w:jc w:val="left"/>
      </w:pPr>
      <w:r>
        <w:rPr>
          <w:rFonts w:ascii="Arial" w:cs="Arial" w:eastAsia="Arial" w:hAnsi="Arial"/>
          <w:sz w:val="22"/>
          <w:szCs w:val="22"/>
        </w:rPr>
        <w:t xml:space="preserve">After the Nixon shock (1971) and the Smithsonian interregnum (1971–73), both prices float and the ratio becomes genuinely bivariate. The chart records wild swings: 9.9 bbl/oz in 1979, 29.7 in 1988. These reflect two kinds of raider operating simultaneously.</w:t>
      </w:r>
    </w:p>
    <w:p>
      <w:pPr>
        <w:spacing w:after="180"/>
        <w:jc w:val="left"/>
      </w:pPr>
      <w:r>
        <w:rPr>
          <w:rFonts w:ascii="Arial" w:cs="Arial" w:eastAsia="Arial" w:hAnsi="Arial"/>
          <w:sz w:val="22"/>
          <w:szCs w:val="22"/>
        </w:rPr>
        <w:t xml:space="preserve">OPEC monetized oil scarcity, compressing the ratio by driving P_oil up. The 1979 trough (ratio = 9.9) is the moment OPEC’s Hohfeldian </w:t>
      </w:r>
      <w:r>
        <w:rPr>
          <w:rFonts w:ascii="Arial" w:cs="Arial" w:eastAsia="Arial" w:hAnsi="Arial"/>
          <w:i/>
          <w:iCs/>
          <w:sz w:val="22"/>
          <w:szCs w:val="22"/>
        </w:rPr>
        <w:t xml:space="preserve">power</w:t>
      </w:r>
      <w:r>
        <w:rPr>
          <w:rFonts w:ascii="Arial" w:cs="Arial" w:eastAsia="Arial" w:hAnsi="Arial"/>
          <w:sz w:val="22"/>
          <w:szCs w:val="22"/>
        </w:rPr>
        <w:t xml:space="preserve"> over the oil market is maximally expressed—one ounce of gold buys fewer than ten barrels because the duty-holder (consuming nations) has no correlative </w:t>
      </w:r>
      <w:r>
        <w:rPr>
          <w:rFonts w:ascii="Arial" w:cs="Arial" w:eastAsia="Arial" w:hAnsi="Arial"/>
          <w:i/>
          <w:iCs/>
          <w:sz w:val="22"/>
          <w:szCs w:val="22"/>
        </w:rPr>
        <w:t xml:space="preserve">liberty</w:t>
      </w:r>
      <w:r>
        <w:rPr>
          <w:rFonts w:ascii="Arial" w:cs="Arial" w:eastAsia="Arial" w:hAnsi="Arial"/>
          <w:sz w:val="22"/>
          <w:szCs w:val="22"/>
        </w:rPr>
        <w:t xml:space="preserve"> to resist the cartel’s pricing. Simultaneously, corporate raiders—the leveraged-buyout wave of the 1980s—monetized information asymmetry about the book values of real assets. A corporation reporting produced assets at historical cost was, in Hohfeldian terms, creating an </w:t>
      </w:r>
      <w:r>
        <w:rPr>
          <w:rFonts w:ascii="Arial" w:cs="Arial" w:eastAsia="Arial" w:hAnsi="Arial"/>
          <w:i/>
          <w:iCs/>
          <w:sz w:val="22"/>
          <w:szCs w:val="22"/>
        </w:rPr>
        <w:t xml:space="preserve">immunity</w:t>
      </w:r>
      <w:r>
        <w:rPr>
          <w:rFonts w:ascii="Arial" w:cs="Arial" w:eastAsia="Arial" w:hAnsi="Arial"/>
          <w:sz w:val="22"/>
          <w:szCs w:val="22"/>
        </w:rPr>
        <w:t xml:space="preserve"> for the raider: management’s failure to revalue conferred a correlative </w:t>
      </w:r>
      <w:r>
        <w:rPr>
          <w:rFonts w:ascii="Arial" w:cs="Arial" w:eastAsia="Arial" w:hAnsi="Arial"/>
          <w:i/>
          <w:iCs/>
          <w:sz w:val="22"/>
          <w:szCs w:val="22"/>
        </w:rPr>
        <w:t xml:space="preserve">disability</w:t>
      </w:r>
      <w:r>
        <w:rPr>
          <w:rFonts w:ascii="Arial" w:cs="Arial" w:eastAsia="Arial" w:hAnsi="Arial"/>
          <w:sz w:val="22"/>
          <w:szCs w:val="22"/>
        </w:rPr>
        <w:t xml:space="preserve"> on shareholders to see the true liquidation value.</w:t>
      </w:r>
    </w:p>
    <w:p>
      <w:pPr>
        <w:spacing w:after="180"/>
        <w:jc w:val="left"/>
      </w:pPr>
      <w:r>
        <w:rPr>
          <w:rFonts w:ascii="Arial" w:cs="Arial" w:eastAsia="Arial" w:hAnsi="Arial"/>
          <w:sz w:val="22"/>
          <w:szCs w:val="22"/>
        </w:rPr>
        <w:t xml:space="preserve">The analogy to CWoN is direct. CWoN reports natural capital at a deflated constant-dollar basis that absorbs price movements into a composite. The 1980s corporate raider saw the gap between book value and market value of a conglomerate’s oil reserves; the analytical equivalent today is the gap between CWoN’s rent-capitalized oil wealth and the market price signal visible in the Gold/Oil ratio. Both are instances of “the Hollerith Pivot”—a measurement convention that makes qualitative assessment expensive and quantitative reporting cheap, obscuring the economic signal in the process.</w:t>
      </w:r>
    </w:p>
    <w:p>
      <w:pPr>
        <w:pStyle w:val="Heading2"/>
        <w:spacing w:after="160" w:before="240"/>
      </w:pPr>
      <w:r>
        <w:rPr>
          <w:rFonts w:ascii="Arial" w:cs="Arial" w:eastAsia="Arial" w:hAnsi="Arial"/>
          <w:b/>
          <w:bCs/>
          <w:color w:val="1F4E79"/>
          <w:sz w:val="28"/>
          <w:szCs w:val="28"/>
        </w:rPr>
        <w:t xml:space="preserve">2.3  BWIII: US Claims and the CWoN Era (1995–2020)</w:t>
      </w:r>
    </w:p>
    <w:p>
      <w:pPr>
        <w:spacing w:after="180"/>
        <w:jc w:val="left"/>
      </w:pPr>
      <w:r>
        <w:rPr>
          <w:rFonts w:ascii="Arial" w:cs="Arial" w:eastAsia="Arial" w:hAnsi="Arial"/>
          <w:sz w:val="22"/>
          <w:szCs w:val="22"/>
        </w:rPr>
        <w:t xml:space="preserve">CWoN data begins in 1995—the start of what this framework calls the US Claims era. The United States, having lost the gold anchor (BWI) and weathered the OPEC challenge (BWII), reasserted its structural position through a different mechanism: dollar hegemony via Treasury markets, the explosion of cross-border claims (NIIP), and the implicit guarantee that dollar-denominated assets were the global risk-free rate.</w:t>
      </w:r>
    </w:p>
    <w:p>
      <w:pPr>
        <w:spacing w:after="180"/>
        <w:jc w:val="left"/>
      </w:pPr>
      <w:r>
        <w:rPr>
          <w:rFonts w:ascii="Arial" w:cs="Arial" w:eastAsia="Arial" w:hAnsi="Arial"/>
          <w:sz w:val="22"/>
          <w:szCs w:val="22"/>
        </w:rPr>
        <w:t xml:space="preserve">CWoN is a product of the BWIII worldview. Its methodology—wealth measured from the perspective of sovereign balance sheets in a dollar-denominated, US-claims-dominant system—is itself an artifact of the regime it was born into. The chart makes this visible: over 1995–2020, the market Gold/Oil ratio ranges from 8.3 to 42.9 bbl/oz (a 5.2× swing). CWoN’s implicit ratio sits in a 31–45 band (a 1.5× swing). CWoN cannot distinguish the 2008 oil supercycle (market = 9) from the 2015 oil glut (market = 23) from the 2020 COVID collapse (market = 43). All three appear as roughly the same number in CWoN space.</w:t>
      </w:r>
    </w:p>
    <w:p>
      <w:pPr>
        <w:spacing w:after="180"/>
        <w:jc w:val="left"/>
      </w:pPr>
      <w:r>
        <w:rPr>
          <w:rFonts w:ascii="Arial" w:cs="Arial" w:eastAsia="Arial" w:hAnsi="Arial"/>
          <w:sz w:val="22"/>
          <w:szCs w:val="22"/>
        </w:rPr>
        <w:t xml:space="preserve">The compression mechanism is wealth capitalization.</w:t>
      </w:r>
      <w:r>
        <w:rPr>
          <w:rFonts w:ascii="Arial" w:cs="Arial" w:eastAsia="Arial" w:hAnsi="Arial"/>
          <w:sz w:val="22"/>
          <w:szCs w:val="22"/>
        </w:rPr>
      </w:r>
      <w:r>
        <w:rPr>
          <w:rFonts w:ascii="Arial" w:cs="Arial" w:eastAsia="Arial" w:hAnsi="Arial"/>
          <w:sz w:val="22"/>
          <w:szCs w:val="22"/>
        </w:rPr>
        <w:t xml:space="preserve"> CWoN’s “constant dollar” deflation embeds not just price changes but reserve-volume revisions, depletion-time assumptions, and discount-rate choices into a single number. The gold deflator and the oil deflator each absorb these structural parameters differently, and their ratio produces a path that bears almost no resemblance to the market’s relative-price signal. The implicit assumption is that wealth stocks—not market prices—are the right basis for valuation. This is precisely the BWIII assumption: that US-denominated capital-account positions (stocks) are more informative than current-account prices (flows).</w:t>
      </w:r>
    </w:p>
    <w:p>
      <w:pPr>
        <w:pStyle w:val="Heading2"/>
        <w:spacing w:after="160" w:before="240"/>
      </w:pPr>
      <w:r>
        <w:rPr>
          <w:rFonts w:ascii="Arial" w:cs="Arial" w:eastAsia="Arial" w:hAnsi="Arial"/>
          <w:b/>
          <w:bCs/>
          <w:color w:val="1F4E79"/>
          <w:sz w:val="28"/>
          <w:szCs w:val="28"/>
        </w:rPr>
        <w:t xml:space="preserve">2.4  BWIV: Government Raiders (2020–present)</w:t>
      </w:r>
    </w:p>
    <w:p>
      <w:pPr>
        <w:spacing w:after="180"/>
        <w:jc w:val="left"/>
      </w:pPr>
      <w:r>
        <w:rPr>
          <w:rFonts w:ascii="Arial" w:cs="Arial" w:eastAsia="Arial" w:hAnsi="Arial"/>
          <w:sz w:val="22"/>
          <w:szCs w:val="22"/>
        </w:rPr>
        <w:t xml:space="preserve">The chart’s rightmost data points record a regime change. The Gold/Oil ratio rises from 42.9 (2020) to 51.0 (2025 YTD)—a level not seen in the entire 75-year series. Gold is repricing against oil in a way that suggests sovereign actors (China, Gulf states, Russia) are diversifying out of dollar-denominated claims: the Hohfeldian correlative of the BWIII US privilege assertion.</w:t>
      </w:r>
    </w:p>
    <w:p>
      <w:pPr>
        <w:spacing w:after="180"/>
        <w:jc w:val="left"/>
      </w:pPr>
      <w:r>
        <w:rPr>
          <w:rFonts w:ascii="Arial" w:cs="Arial" w:eastAsia="Arial" w:hAnsi="Arial"/>
          <w:sz w:val="22"/>
          <w:szCs w:val="22"/>
        </w:rPr>
        <w:t xml:space="preserve">CWoN has no data here. Its series stops at 2020. This is the deepest form of temporal blindness: a methodology designed in BWIII cannot see the regime change that BWIV represents. The institution that chose not to document the newly independent states’ transition losses in 1995 now cannot document the de-dollarization transition underway since 2020. The Gold/Oil ratio—visible to anyone with a commodity terminal—registers the shift in real time. CWoN’s rent-capitalization, by construction, cannot.</w:t>
      </w:r>
    </w:p>
    <w:p>
      <w:pPr>
        <w:pStyle w:val="Heading1"/>
        <w:spacing w:after="160" w:before="360"/>
      </w:pPr>
      <w:r>
        <w:rPr>
          <w:rFonts w:ascii="Arial" w:cs="Arial" w:eastAsia="Arial" w:hAnsi="Arial"/>
          <w:b/>
          <w:bCs/>
          <w:color w:val="1F4E79"/>
          <w:sz w:val="32"/>
          <w:szCs w:val="32"/>
        </w:rPr>
        <w:t xml:space="preserve">3. The Chart</w:t>
      </w:r>
    </w:p>
    <w:p>
      <w:pPr>
        <w:spacing w:after="120"/>
        <w:jc w:val="center"/>
      </w:pPr>
      <w:r>
        <w:drawing>
          <wp:inline distT="0" distB="0" distL="0" distR="0">
            <wp:extent cx="6477000" cy="3524250"/>
            <wp:effectExtent t="0" r="0" b="0" l="0"/>
            <wp:docPr id="1" name="og010_chart" descr="Four-phase BW comparison 1950-2025" title="Gold/Oil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524250"/>
                    </a:xfrm>
                    <a:prstGeom prst="rect">
                      <a:avLst/>
                    </a:prstGeom>
                  </pic:spPr>
                </pic:pic>
              </a:graphicData>
            </a:graphic>
          </wp:inline>
        </w:drawing>
      </w:r>
    </w:p>
    <w:p>
      <w:pPr>
        <w:spacing w:after="180"/>
        <w:jc w:val="left"/>
      </w:pPr>
      <w:r>
        <w:rPr>
          <w:rFonts w:ascii="Arial" w:cs="Arial" w:eastAsia="Arial" w:hAnsi="Arial"/>
          <w:i/>
          <w:iCs/>
          <w:sz w:val="22"/>
          <w:szCs w:val="22"/>
        </w:rPr>
        <w:t xml:space="preserve">Figure 1. Gold/Oil price ratio (barrels per troy ounce), 1950–2025. Shading denotes the four phases of the Global Bretton Woods per the O’Connor Framework. CWoN implicit ratio (red line) available 1995–2020 only. Market and FAND series track closely throughout; CWoN diverges by construction.</w:t>
      </w:r>
    </w:p>
    <w:p>
      <w:pPr>
        <w:pStyle w:val="Heading1"/>
        <w:spacing w:after="160" w:before="360"/>
      </w:pPr>
      <w:r>
        <w:rPr>
          <w:rFonts w:ascii="Arial" w:cs="Arial" w:eastAsia="Arial" w:hAnsi="Arial"/>
          <w:b/>
          <w:bCs/>
          <w:color w:val="1F4E79"/>
          <w:sz w:val="32"/>
          <w:szCs w:val="32"/>
        </w:rPr>
        <w:t xml:space="preserve">4. A Hohfeldian Reading of Price Compression</w:t>
      </w:r>
    </w:p>
    <w:p>
      <w:pPr>
        <w:spacing w:after="180"/>
        <w:jc w:val="left"/>
      </w:pPr>
      <w:r>
        <w:rPr>
          <w:rFonts w:ascii="Arial" w:cs="Arial" w:eastAsia="Arial" w:hAnsi="Arial"/>
          <w:sz w:val="22"/>
          <w:szCs w:val="22"/>
        </w:rPr>
        <w:t xml:space="preserve">The Gold/Oil ratio encodes a jural correlative: the </w:t>
      </w:r>
      <w:r>
        <w:rPr>
          <w:rFonts w:ascii="Arial" w:cs="Arial" w:eastAsia="Arial" w:hAnsi="Arial"/>
          <w:i/>
          <w:iCs/>
          <w:sz w:val="22"/>
          <w:szCs w:val="22"/>
        </w:rPr>
        <w:t xml:space="preserve">claim-right</w:t>
      </w:r>
      <w:r>
        <w:rPr>
          <w:rFonts w:ascii="Arial" w:cs="Arial" w:eastAsia="Arial" w:hAnsi="Arial"/>
          <w:sz w:val="22"/>
          <w:szCs w:val="22"/>
        </w:rPr>
        <w:t xml:space="preserve"> of gold holders (capital account) against the </w:t>
      </w:r>
      <w:r>
        <w:rPr>
          <w:rFonts w:ascii="Arial" w:cs="Arial" w:eastAsia="Arial" w:hAnsi="Arial"/>
          <w:i/>
          <w:iCs/>
          <w:sz w:val="22"/>
          <w:szCs w:val="22"/>
        </w:rPr>
        <w:t xml:space="preserve">duty</w:t>
      </w:r>
      <w:r>
        <w:rPr>
          <w:rFonts w:ascii="Arial" w:cs="Arial" w:eastAsia="Arial" w:hAnsi="Arial"/>
          <w:sz w:val="22"/>
          <w:szCs w:val="22"/>
        </w:rPr>
        <w:t xml:space="preserve"> of oil producers (current account) to deliver real goods at a market-clearing price. In BWI, this correlative was administratively fixed. In BWII, OPEC inverted it temporarily. In BWIII, US dollar hegemony restored it under a different mechanism (Treasury claims rather than gold claims). In BWIV, government raiders are testing whether the correlative can be re-denominated entirely.</w:t>
      </w:r>
    </w:p>
    <w:p>
      <w:pPr>
        <w:spacing w:after="180"/>
        <w:jc w:val="left"/>
      </w:pPr>
      <w:r>
        <w:rPr>
          <w:rFonts w:ascii="Arial" w:cs="Arial" w:eastAsia="Arial" w:hAnsi="Arial"/>
          <w:sz w:val="22"/>
          <w:szCs w:val="22"/>
        </w:rPr>
        <w:t xml:space="preserve">CWoN’s methodology, by collapsing the price signal into a wealth stock, </w:t>
      </w:r>
      <w:r>
        <w:rPr>
          <w:rFonts w:ascii="Arial" w:cs="Arial" w:eastAsia="Arial" w:hAnsi="Arial"/>
          <w:i/>
          <w:iCs/>
          <w:sz w:val="22"/>
          <w:szCs w:val="22"/>
        </w:rPr>
        <w:t xml:space="preserve">dissolves the jural correlative</w:t>
      </w:r>
      <w:r>
        <w:rPr>
          <w:rFonts w:ascii="Arial" w:cs="Arial" w:eastAsia="Arial" w:hAnsi="Arial"/>
          <w:sz w:val="22"/>
          <w:szCs w:val="22"/>
        </w:rPr>
        <w:t xml:space="preserve">. You cannot read power relations from a ratio that does not move. The 3.6× compression at 2008—market ratio 9 vs. CWoN 32—is not a rounding error. It is the analytical equivalent of a 1980s conglomerate reporting oil reserves at historical cost while the market prices the liquidation value at 3.6 times book. The raider (in that era, Carl Icahn or T. Boone Pickens) saw the gap. The question for BWIV is: who is the raider now, and what gap are they seeing that CWoN’s methodology renders invisible?</w:t>
      </w:r>
    </w:p>
    <w:p>
      <w:pPr>
        <w:spacing w:after="180"/>
        <w:jc w:val="left"/>
      </w:pPr>
      <w:r>
        <w:rPr>
          <w:rFonts w:ascii="Arial" w:cs="Arial" w:eastAsia="Arial" w:hAnsi="Arial"/>
          <w:sz w:val="22"/>
          <w:szCs w:val="22"/>
        </w:rPr>
        <w:t xml:space="preserve">The Coasean dimension</w:t>
      </w:r>
      <w:r>
        <w:rPr>
          <w:rFonts w:ascii="Arial" w:cs="Arial" w:eastAsia="Arial" w:hAnsi="Arial"/>
          <w:sz w:val="22"/>
          <w:szCs w:val="22"/>
        </w:rPr>
      </w:r>
      <w:r>
        <w:rPr>
          <w:rFonts w:ascii="Arial" w:cs="Arial" w:eastAsia="Arial" w:hAnsi="Arial"/>
          <w:sz w:val="22"/>
          <w:szCs w:val="22"/>
        </w:rPr>
        <w:t xml:space="preserve"> reinforces this. CWoN’s PV annuity formula—which converts a rent flow into a wealth stock at a fixed discount rate over a fixed depletion horizon—implicitly assumes zero transaction costs in the conversion. That is: it assumes the rent flow can be smoothly transformed into a capital stock without information loss, regime risk, or expropriation hazard. This is precisely the assumption that raiders exploit. The 1980s corporate raider exploited the gap between book value (zero-transaction-cost accounting) and market value (transaction-cost-laden reality). The BWIV government raider exploits the gap between CWoN’s smooth rent-capitalized wealth and the volatile, regime-sensitive market price that the Gold/Oil ratio records.</w:t>
      </w:r>
    </w:p>
    <w:p>
      <w:pPr>
        <w:pStyle w:val="Heading1"/>
        <w:spacing w:after="160" w:before="360"/>
      </w:pPr>
      <w:r>
        <w:rPr>
          <w:rFonts w:ascii="Arial" w:cs="Arial" w:eastAsia="Arial" w:hAnsi="Arial"/>
          <w:b/>
          <w:bCs/>
          <w:color w:val="1F4E79"/>
          <w:sz w:val="32"/>
          <w:szCs w:val="32"/>
        </w:rPr>
        <w:t xml:space="preserve">5. What CWoN Cannot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580"/>
        <w:gridCol w:w="258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Market Range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CWoN?</w:t>
            </w:r>
          </w:p>
        </w:tc>
        <w:tc>
          <w:tcPr>
            <w:tcW w:type="dxa" w:w="2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CWoN Misses</w:t>
            </w:r>
          </w:p>
        </w:tc>
        <w:tc>
          <w:tcPr>
            <w:tcW w:type="dxa" w:w="2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Hohfeldian Signal</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16–26 bbl/oz</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No</w:t>
            </w:r>
          </w:p>
        </w:tc>
        <w:tc>
          <w:tcPr>
            <w:tcW w:type="dxa" w:w="25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Fixed-parity constraint itself</w:t>
            </w:r>
          </w:p>
        </w:tc>
        <w:tc>
          <w:tcPr>
            <w:tcW w:type="dxa" w:w="25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US power over numeraire</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9.9–34.7</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No</w:t>
            </w:r>
          </w:p>
        </w:tc>
        <w:tc>
          <w:tcPr>
            <w:tcW w:type="dxa" w:w="25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OPEC power, corporate raider asymmetry</w:t>
            </w:r>
          </w:p>
        </w:tc>
        <w:tc>
          <w:tcPr>
            <w:tcW w:type="dxa" w:w="25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Cartel power / shareholder disability</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8.3–42.9</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Yes (31–45)</w:t>
            </w:r>
          </w:p>
        </w:tc>
        <w:tc>
          <w:tcPr>
            <w:tcW w:type="dxa" w:w="25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5.2× swing compressed to 1.5×</w:t>
            </w:r>
          </w:p>
        </w:tc>
        <w:tc>
          <w:tcPr>
            <w:tcW w:type="dxa" w:w="25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Dollar hegemony as claim-right</w:t>
            </w:r>
          </w:p>
        </w:tc>
      </w:tr>
      <w:tr>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BWIV</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42.9–51.0</w:t>
            </w:r>
          </w:p>
        </w:tc>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No</w:t>
            </w:r>
          </w:p>
        </w:tc>
        <w:tc>
          <w:tcPr>
            <w:tcW w:type="dxa" w:w="25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The regime change entirely</w:t>
            </w:r>
          </w:p>
        </w:tc>
        <w:tc>
          <w:tcPr>
            <w:tcW w:type="dxa" w:w="25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Sovereign de-dollarization as power shift</w:t>
            </w:r>
          </w:p>
        </w:tc>
      </w:tr>
    </w:tbl>
    <w:p>
      <w:pPr>
        <w:spacing w:after="180"/>
        <w:jc w:val="left"/>
      </w:pPr>
      <w:r>
        <w:rPr>
          <w:rFonts w:ascii="Arial" w:cs="Arial" w:eastAsia="Arial" w:hAnsi="Arial"/>
          <w:i/>
          <w:iCs/>
          <w:sz w:val="22"/>
          <w:szCs w:val="22"/>
        </w:rPr>
        <w:t xml:space="preserve">Table 1. Four-phase diagnostic: what each BW phase reveals about payments-system structure, and what CWoN can and cannot measure.</w:t>
      </w:r>
    </w:p>
    <w:p>
      <w:pPr>
        <w:spacing w:after="180"/>
        <w:jc w:val="left"/>
      </w:pPr>
      <w:r>
        <w:rPr>
          <w:rFonts w:ascii="Arial" w:cs="Arial" w:eastAsia="Arial" w:hAnsi="Arial"/>
          <w:sz w:val="22"/>
          <w:szCs w:val="22"/>
        </w:rPr>
        <w:t xml:space="preserve">The temporal coverage of FAND (1950–2025) is not arbitrary. It spans all four BW phases. CWoN’s 1995–2020 window is not merely shorter—it is </w:t>
      </w:r>
      <w:r>
        <w:rPr>
          <w:rFonts w:ascii="Arial" w:cs="Arial" w:eastAsia="Arial" w:hAnsi="Arial"/>
          <w:i/>
          <w:iCs/>
          <w:sz w:val="22"/>
          <w:szCs w:val="22"/>
        </w:rPr>
        <w:t xml:space="preserve">regime-specific</w:t>
      </w:r>
      <w:r>
        <w:rPr>
          <w:rFonts w:ascii="Arial" w:cs="Arial" w:eastAsia="Arial" w:hAnsi="Arial"/>
          <w:sz w:val="22"/>
          <w:szCs w:val="22"/>
        </w:rPr>
        <w:t xml:space="preserve">. An analyst using CWoN data alone cannot see the BWI→BWII transition (which established that commodity prices are payments-regime artifacts), cannot see the BWII→BWIII transition (which established US claims dominance), and cannot see the BWIII→BWIV transition currently underway.</w:t>
      </w:r>
    </w:p>
    <w:p>
      <w:pPr>
        <w:pStyle w:val="Heading1"/>
        <w:spacing w:after="160" w:before="360"/>
      </w:pPr>
      <w:r>
        <w:rPr>
          <w:rFonts w:ascii="Arial" w:cs="Arial" w:eastAsia="Arial" w:hAnsi="Arial"/>
          <w:b/>
          <w:bCs/>
          <w:color w:val="1F4E79"/>
          <w:sz w:val="32"/>
          <w:szCs w:val="32"/>
        </w:rPr>
        <w:t xml:space="preserve">6. Operational Guidelines for FAND</w:t>
      </w:r>
    </w:p>
    <w:p>
      <w:pPr>
        <w:pStyle w:val="Heading2"/>
        <w:spacing w:after="160" w:before="240"/>
      </w:pPr>
      <w:r>
        <w:rPr>
          <w:rFonts w:ascii="Arial" w:cs="Arial" w:eastAsia="Arial" w:hAnsi="Arial"/>
          <w:b/>
          <w:bCs/>
          <w:color w:val="1F4E79"/>
          <w:sz w:val="28"/>
          <w:szCs w:val="28"/>
        </w:rPr>
        <w:t xml:space="preserve">6.1  Guideline I: Preserve Price-Level Signals</w:t>
      </w:r>
    </w:p>
    <w:p>
      <w:pPr>
        <w:spacing w:after="180"/>
        <w:jc w:val="left"/>
      </w:pPr>
      <w:r>
        <w:rPr>
          <w:rFonts w:ascii="Arial" w:cs="Arial" w:eastAsia="Arial" w:hAnsi="Arial"/>
          <w:sz w:val="22"/>
          <w:szCs w:val="22"/>
        </w:rPr>
        <w:t xml:space="preserve">FAND’s three-halo valuation identity—V = P × Q (flow), V = P × R (stock), V = P × R × Sev (severance)—preserves P as a separate, visible factor at every level of the balance sheet. CWoN’s rent-capitalization (Halo 4) absorbs P into a discount-rate/depletion-time composite. This is not a deficiency to be corrected; it is a design choice that reflects BWIII assumptions about what matters. FAND’s design choice is different: relative prices carry regime information, and the balance sheet must let the user see that information.</w:t>
      </w:r>
    </w:p>
    <w:p>
      <w:pPr>
        <w:spacing w:after="180"/>
        <w:jc w:val="left"/>
      </w:pPr>
      <w:r>
        <w:rPr>
          <w:rFonts w:ascii="Arial" w:cs="Arial" w:eastAsia="Arial" w:hAnsi="Arial"/>
          <w:sz w:val="22"/>
          <w:szCs w:val="22"/>
        </w:rPr>
        <w:t xml:space="preserve">Implementation: every World Table emitted by FAND carries separate P, Q, and V tabs with the dimensional contract |V − Q × P| / max(|V|, 1) &lt; 10⁻³ enforced by the WT frame validator (SPMF-192-1). The Gold/Oil ratio can be computed from any two WT_*_FAND.xlsx files by the end user, without accessing CWoN at all.</w:t>
      </w:r>
    </w:p>
    <w:p>
      <w:pPr>
        <w:pStyle w:val="Heading2"/>
        <w:spacing w:after="160" w:before="240"/>
      </w:pPr>
      <w:r>
        <w:rPr>
          <w:rFonts w:ascii="Arial" w:cs="Arial" w:eastAsia="Arial" w:hAnsi="Arial"/>
          <w:b/>
          <w:bCs/>
          <w:color w:val="1F4E79"/>
          <w:sz w:val="28"/>
          <w:szCs w:val="28"/>
        </w:rPr>
        <w:t xml:space="preserve">6.2  Guideline II: Cover All Four BW Phases</w:t>
      </w:r>
    </w:p>
    <w:p>
      <w:pPr>
        <w:spacing w:after="180"/>
        <w:jc w:val="left"/>
      </w:pPr>
      <w:r>
        <w:rPr>
          <w:rFonts w:ascii="Arial" w:cs="Arial" w:eastAsia="Arial" w:hAnsi="Arial"/>
          <w:sz w:val="22"/>
          <w:szCs w:val="22"/>
        </w:rPr>
        <w:t xml:space="preserve">The canonical FAND year axis (1950–2050, SPMF-191-1) was chosen to span all four phases. This is not a convenience—it is an analytical requirement. A wealth database that begins in 1995 cannot support the kind of payments-regime analysis this document performs. The 1950 start date ensures that BWI is fully represented; the 2050 endpoint provides projection space for BWIV scenarios.</w:t>
      </w:r>
    </w:p>
    <w:p>
      <w:pPr>
        <w:spacing w:after="180"/>
        <w:jc w:val="left"/>
      </w:pPr>
      <w:r>
        <w:rPr>
          <w:rFonts w:ascii="Arial" w:cs="Arial" w:eastAsia="Arial" w:hAnsi="Arial"/>
          <w:sz w:val="22"/>
          <w:szCs w:val="22"/>
        </w:rPr>
        <w:t xml:space="preserve">Implementation: every builder script must fill the 1950–2050 axis via enforce_frame(). Pre-1970 data will be sparse for many indicators, but the structural zeros and blanks are informative: they document what was measured when, and by whom. CWoN’s choice to blank the pre-1995 era is itself a datum—one that FAND’s coverage gap analysis can expose.</w:t>
      </w:r>
    </w:p>
    <w:p>
      <w:pPr>
        <w:pStyle w:val="Heading2"/>
        <w:spacing w:after="160" w:before="240"/>
      </w:pPr>
      <w:r>
        <w:rPr>
          <w:rFonts w:ascii="Arial" w:cs="Arial" w:eastAsia="Arial" w:hAnsi="Arial"/>
          <w:b/>
          <w:bCs/>
          <w:color w:val="1F4E79"/>
          <w:sz w:val="28"/>
          <w:szCs w:val="28"/>
        </w:rPr>
        <w:t xml:space="preserve">6.3  Guideline III: Map Raider Structures to the Where/What Hierarchy</w:t>
      </w:r>
    </w:p>
    <w:p>
      <w:pPr>
        <w:spacing w:after="180"/>
        <w:jc w:val="left"/>
      </w:pPr>
      <w:r>
        <w:rPr>
          <w:rFonts w:ascii="Arial" w:cs="Arial" w:eastAsia="Arial" w:hAnsi="Arial"/>
          <w:sz w:val="22"/>
          <w:szCs w:val="22"/>
        </w:rPr>
        <w:t xml:space="preserve">The “raider” concept connects the macro-level price signal (this document) to FAND’s micro-level mapping tools. Corporate raiders (BWII) monetized information asymmetry about physical assets; the FSH algorithm’s SLO mapping captures this layer by linking corporate subnational payments to regional GDP. Government raiders (BWIV) monetize information asymmetry about sovereign claims; the cross-border NIIP framework (OG-007 §9) captures this by telescoping international investment positions to subnational units.</w:t>
      </w:r>
    </w:p>
    <w:p>
      <w:pPr>
        <w:spacing w:after="180"/>
        <w:jc w:val="left"/>
      </w:pPr>
      <w:r>
        <w:rPr>
          <w:rFonts w:ascii="Arial" w:cs="Arial" w:eastAsia="Arial" w:hAnsi="Arial"/>
          <w:sz w:val="22"/>
          <w:szCs w:val="22"/>
        </w:rPr>
        <w:t xml:space="preserve">The Gold/Oil ratio is the macro-level diagnostic that tells the analyst which layer is dominant at any given moment. When the ratio is stable (BWI, BWIII), the dominant actor holds residual control rights without challenge. When the ratio is volatile (BWII transition, BWIV), the jural correlatives are being contested. FAND’s Where hierarchy, by carrying both SLO (corporate) and NIIP (sovereign) positions at each territorial level, provides the analytical surface to disaggregate the macro signal into subnational impacts.</w:t>
      </w:r>
    </w:p>
    <w:p>
      <w:pPr>
        <w:pStyle w:val="Heading1"/>
        <w:spacing w:after="160" w:before="360"/>
      </w:pPr>
      <w:r>
        <w:rPr>
          <w:rFonts w:ascii="Arial" w:cs="Arial" w:eastAsia="Arial" w:hAnsi="Arial"/>
          <w:b/>
          <w:bCs/>
          <w:color w:val="1F4E79"/>
          <w:sz w:val="32"/>
          <w:szCs w:val="32"/>
        </w:rPr>
        <w:t xml:space="preserve">7. Toward a Research Agenda</w:t>
      </w:r>
    </w:p>
    <w:p>
      <w:pPr>
        <w:spacing w:after="180"/>
        <w:jc w:val="left"/>
      </w:pPr>
      <w:r>
        <w:rPr>
          <w:rFonts w:ascii="Arial" w:cs="Arial" w:eastAsia="Arial" w:hAnsi="Arial"/>
          <w:sz w:val="22"/>
          <w:szCs w:val="22"/>
        </w:rPr>
        <w:t xml:space="preserve">This OG establishes the Gold/Oil ratio as an entry point. Several extensions follow naturally:</w:t>
      </w:r>
    </w:p>
    <w:p>
      <w:pPr>
        <w:pStyle w:val="ListParagraph"/>
        <w:numPr>
          <w:ilvl w:val="0"/>
          <w:numId w:val="2"/>
        </w:numPr>
        <w:spacing w:after="120"/>
      </w:pPr>
      <w:r>
        <w:rPr>
          <w:rFonts w:ascii="Arial" w:cs="Arial" w:eastAsia="Arial" w:hAnsi="Arial"/>
          <w:b/>
          <w:bCs/>
          <w:sz w:val="22"/>
          <w:szCs w:val="22"/>
        </w:rPr>
        <w:t xml:space="preserve">Silver/Oil and Copper/Oil ratios. </w:t>
      </w:r>
      <w:r>
        <w:rPr>
          <w:rFonts w:ascii="Arial" w:cs="Arial" w:eastAsia="Arial" w:hAnsi="Arial"/>
          <w:sz w:val="22"/>
          <w:szCs w:val="22"/>
        </w:rPr>
        <w:t xml:space="preserve">FAND’s commodity-level WT architecture (SPMF-191-1) makes it trivial to compute cross-commodity ratios for every pair. Silver/Oil should show a distinct regime signature because silver’s monetary role was extinguished earlier than gold’s. Copper/Oil should track industrial cycles more closely than payments regimes.</w:t>
      </w:r>
    </w:p>
    <w:p>
      <w:pPr>
        <w:pStyle w:val="ListParagraph"/>
        <w:numPr>
          <w:ilvl w:val="0"/>
          <w:numId w:val="2"/>
        </w:numPr>
        <w:spacing w:after="120"/>
      </w:pPr>
      <w:r>
        <w:rPr>
          <w:rFonts w:ascii="Arial" w:cs="Arial" w:eastAsia="Arial" w:hAnsi="Arial"/>
          <w:b/>
          <w:bCs/>
          <w:sz w:val="22"/>
          <w:szCs w:val="22"/>
        </w:rPr>
        <w:t xml:space="preserve">Deflator decomposition. </w:t>
      </w:r>
      <w:r>
        <w:rPr>
          <w:rFonts w:ascii="Arial" w:cs="Arial" w:eastAsia="Arial" w:hAnsi="Arial"/>
          <w:sz w:val="22"/>
          <w:szCs w:val="22"/>
        </w:rPr>
        <w:t xml:space="preserve">The CWoN implicit deflator absorbs P, R, depletion time, and discount rate. With access to the reproducibility .dta files, each component’s contribution to the compression can be isolated. The commodity-level deflator workbook (CWoN_Implicit_Deflators_Commodity.xlsx, this session) provides the raw material.</w:t>
      </w:r>
    </w:p>
    <w:p>
      <w:pPr>
        <w:pStyle w:val="ListParagraph"/>
        <w:numPr>
          <w:ilvl w:val="0"/>
          <w:numId w:val="2"/>
        </w:numPr>
        <w:spacing w:after="120"/>
      </w:pPr>
      <w:r>
        <w:rPr>
          <w:rFonts w:ascii="Arial" w:cs="Arial" w:eastAsia="Arial" w:hAnsi="Arial"/>
          <w:b/>
          <w:bCs/>
          <w:sz w:val="22"/>
          <w:szCs w:val="22"/>
        </w:rPr>
        <w:t xml:space="preserve">BWIV scenario modeling. </w:t>
      </w:r>
      <w:r>
        <w:rPr>
          <w:rFonts w:ascii="Arial" w:cs="Arial" w:eastAsia="Arial" w:hAnsi="Arial"/>
          <w:sz w:val="22"/>
          <w:szCs w:val="22"/>
        </w:rPr>
        <w:t xml:space="preserve">The projection columns (2026–2050) in the WT frame are memo items under SPMF-151-1. The Gold/Oil ratio under alternative BWIV scenarios—continued de-dollarization vs. dollar reassertion vs. multipolar reserve regime—can be projected as scenario paths and compared against CWoN’s implicit (necessarily flat) projection.</w:t>
      </w:r>
    </w:p>
    <w:p>
      <w:pPr>
        <w:pStyle w:val="ListParagraph"/>
        <w:numPr>
          <w:ilvl w:val="0"/>
          <w:numId w:val="2"/>
        </w:numPr>
        <w:spacing w:after="120"/>
      </w:pPr>
      <w:r>
        <w:rPr>
          <w:rFonts w:ascii="Arial" w:cs="Arial" w:eastAsia="Arial" w:hAnsi="Arial"/>
          <w:b/>
          <w:bCs/>
          <w:sz w:val="22"/>
          <w:szCs w:val="22"/>
        </w:rPr>
        <w:t xml:space="preserve">The Social Infrastructure connection. </w:t>
      </w:r>
      <w:r>
        <w:rPr>
          <w:rFonts w:ascii="Arial" w:cs="Arial" w:eastAsia="Arial" w:hAnsi="Arial"/>
          <w:sz w:val="22"/>
          <w:szCs w:val="22"/>
        </w:rPr>
        <w:t xml:space="preserve">The Time-Asset Equivalency principle (CLAUDE.md) posits that human time is a finite balance-sheet asset whose allocation is constrained by local Social Infrastructure. The Gold/Oil ratio measures the terms of trade between two non-human assets; the human-time equivalent is the ratio of local wages to the cost of energy access. Each BW phase should produce a characteristic wage/energy ratio regime, testable with FAND’s subnational panel.</w:t>
      </w:r>
    </w:p>
    <w:p>
      <w:r>
        <w:br w:type="page"/>
      </w:r>
    </w:p>
    <w:p>
      <w:pPr>
        <w:pStyle w:val="Heading1"/>
        <w:spacing w:after="160" w:before="360"/>
      </w:pPr>
      <w:r>
        <w:rPr>
          <w:rFonts w:ascii="Arial" w:cs="Arial" w:eastAsia="Arial" w:hAnsi="Arial"/>
          <w:b/>
          <w:bCs/>
          <w:color w:val="1F4E79"/>
          <w:sz w:val="32"/>
          <w:szCs w:val="32"/>
        </w:rPr>
        <w:t xml:space="preserve">Appendix: Data Table</w:t>
      </w:r>
    </w:p>
    <w:p>
      <w:pPr>
        <w:spacing w:after="180"/>
        <w:jc w:val="left"/>
      </w:pPr>
      <w:r>
        <w:rPr>
          <w:rFonts w:ascii="Arial" w:cs="Arial" w:eastAsia="Arial" w:hAnsi="Arial"/>
          <w:i/>
          <w:iCs/>
          <w:sz w:val="22"/>
          <w:szCs w:val="22"/>
        </w:rPr>
        <w:t xml:space="preserve">Gold/Oil price ratio (bbl/oz), three sources, 1950–2025. Phase coloring per O’Connor Framework. CWoN values available 1995–2020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27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FAND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CWoN</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16.8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16.9</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1959</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16.8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16.9</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21.6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22.4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23.2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23.4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24.2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24.7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25.8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26.3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29.5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21.6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1969</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32.4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22.8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1970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29.7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1971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24.1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18.2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BWI</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1972</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32.0</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23.4</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Transition</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1973</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34.7</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29.6</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20"/>
                <w:szCs w:val="20"/>
              </w:rPr>
              <w:t xml:space="preserve">Transition</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1974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14.5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13.8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1975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15.4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14.0</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1976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10.7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9.8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1977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11.8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10.6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1978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13.8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1979</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9.9</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9.7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1980</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16.5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16.5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1981</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13.0</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12.8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1982</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11.5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11.4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1983</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14.3</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14.3</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12.6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12.5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11.7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11.5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25.6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25.5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24.6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24.2</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29.7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29.3</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1989</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21.4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20.9</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1990</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16.8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16.2</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1991</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18.7</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1992</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17.8</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1993</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21.4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21.2</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1994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24.2</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24.3</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1995</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22.4</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22.6</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42.4</w:t>
            </w:r>
          </w:p>
        </w:tc>
        <w:tc>
          <w:tcPr>
            <w:tcW w:type="dxa" w:w="27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20"/>
                <w:szCs w:val="20"/>
              </w:rPr>
              <w:t xml:space="preserve">BWII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1996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19.0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18.8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42.0</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1997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17.3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17.3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45.4</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1998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22.5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23.1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36.2</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1999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31.1</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32.4</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11.1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11.1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34.0</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12.4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12.4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35.7</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12.6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12.6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37.0</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10.8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10.7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35.6</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8.3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8.2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32.8</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33.9</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32.9</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31.9</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2009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36.1</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37.2</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14.1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33.5</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15.9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14.9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36.0</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13.6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13.0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36.1</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13.2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12.8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39.6</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22.9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22.2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36.4</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29.2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28.6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34.6</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23.8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23.2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40.3</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18.6</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17.8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38.0</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2019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22.7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21.7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39.4</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2020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42.9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42.2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42.9</w:t>
            </w:r>
          </w:p>
        </w:tc>
        <w:tc>
          <w:tcPr>
            <w:tcW w:type="dxa" w:w="2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BWIII</w:t>
            </w:r>
          </w:p>
        </w:tc>
      </w:tr>
      <w:tr>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2021</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26.1</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25.4</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BWIV</w:t>
            </w:r>
          </w:p>
        </w:tc>
      </w:tr>
      <w:tr>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2022</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18.5</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17.8</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BWIV</w:t>
            </w:r>
          </w:p>
        </w:tc>
      </w:tr>
      <w:tr>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2023</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24.1</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23.6</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BWIV</w:t>
            </w:r>
          </w:p>
        </w:tc>
      </w:tr>
      <w:tr>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2024</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30.3</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29.6</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BWIV</w:t>
            </w:r>
          </w:p>
        </w:tc>
      </w:tr>
      <w:tr>
        <w:tc>
          <w:tcPr>
            <w:tcW w:type="dxa" w:w="12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2025</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51.0</w:t>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tcPr>
          <w:p>
            <w:r>
              <w:rPr>
                <w:rFonts w:ascii="Arial" w:cs="Arial" w:eastAsia="Arial" w:hAnsi="Arial"/>
                <w:sz w:val="20"/>
                <w:szCs w:val="20"/>
              </w:rPr>
              <w:t xml:space="preserve">BWIV</w:t>
            </w:r>
          </w:p>
        </w:tc>
      </w:tr>
    </w:tbl>
    <w:p>
      <w:pPr>
        <w:spacing w:before="24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Market = WB Pink Sheet (CMO-Historical-Data-Annual.xlsx) + Bretton Woods parity extension. FAND = USGS gold (USD/tonne → USD/oz) and EIA oil (USD/bbl) from oconeco_tl1_global.db. CWoN implicit = deflator ratio from FR_WLD_2024_195 reproducibility .dta files, anchored at 2020 market value.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80"/>
        <w:jc w:val="left"/>
      </w:pPr>
      <w:r>
        <w:rPr>
          <w:rStyle w:val="FootnoteReference"/>
        </w:rPr>
        <w:footnoteRef/>
      </w:r>
      <w:r>
        <w:rPr>
          <w:rFonts w:ascii="Arial" w:cs="Arial" w:eastAsia="Arial" w:hAnsi="Arial"/>
          <w:i/>
          <w:iCs/>
          <w:color w:val="666666"/>
          <w:sz w:val="18"/>
          <w:szCs w:val="18"/>
        </w:rPr>
        <w:t xml:space="preserve">The 1995 MEP was prepared using data circa 1990. Its wealth estimates were among the first to include the newly independent states as they were assessed for Bretton Woods membership. Subsequent Bank publications chose not to report the per capita income estimates used for those accession assessments, making 1995 the effective start of the CWoN series.</w:t>
      </w:r>
    </w:p>
  </w:footnote>
  <w:footnote w:id="2">
    <w:p>
      <w:pPr>
        <w:spacing w:after="180"/>
        <w:jc w:val="left"/>
      </w:pPr>
      <w:r>
        <w:rPr>
          <w:rStyle w:val="FootnoteReference"/>
        </w:rPr>
        <w:footnoteRef/>
      </w:r>
      <w:r>
        <w:rPr>
          <w:rFonts w:ascii="Arial" w:cs="Arial" w:eastAsia="Arial" w:hAnsi="Arial"/>
          <w:i/>
          <w:iCs/>
          <w:color w:val="666666"/>
          <w:sz w:val="18"/>
          <w:szCs w:val="18"/>
        </w:rPr>
        <w:t xml:space="preserve">Hohfeld, W.N. (1917). Fundamental Legal Conceptions as Applied in Judicial Reasoning. Yale Law Journal 26(8), 710–770.</w:t>
      </w:r>
    </w:p>
  </w:footnote>
  <w:footnote w:id="3">
    <w:p>
      <w:pPr>
        <w:spacing w:after="180"/>
        <w:jc w:val="left"/>
      </w:pPr>
      <w:r>
        <w:rPr>
          <w:rStyle w:val="FootnoteReference"/>
        </w:rPr>
        <w:footnoteRef/>
      </w:r>
      <w:r>
        <w:rPr>
          <w:rFonts w:ascii="Arial" w:cs="Arial" w:eastAsia="Arial" w:hAnsi="Arial"/>
          <w:i/>
          <w:iCs/>
          <w:color w:val="666666"/>
          <w:sz w:val="18"/>
          <w:szCs w:val="18"/>
        </w:rPr>
        <w:t xml:space="preserve">CWoN’s implicit deflator for gold wealth = (NW.NCA.MGOL.PC.CD / NW.NCA.MGOL.PC) × 100; for oil rent wealth = (NW.NCA.SOILR.TO.CD / NW.NCA.SOILR.TO) × 100. The ratio of these two deflators, rescaled to bbl/oz at the 2020 market anchor, gives the CWoN implicit Gold/Oil ratio.</w:t>
      </w:r>
    </w:p>
  </w:footnote>
  <w:footnote w:id="4">
    <w:p>
      <w:pPr>
        <w:spacing w:after="180"/>
        <w:jc w:val="left"/>
      </w:pPr>
      <w:r>
        <w:rPr>
          <w:rStyle w:val="FootnoteReference"/>
        </w:rPr>
        <w:footnoteRef/>
      </w:r>
      <w:r>
        <w:rPr>
          <w:rFonts w:ascii="Arial" w:cs="Arial" w:eastAsia="Arial" w:hAnsi="Arial"/>
          <w:i/>
          <w:iCs/>
          <w:color w:val="666666"/>
          <w:sz w:val="18"/>
          <w:szCs w:val="18"/>
        </w:rPr>
        <w:t xml:space="preserve">Coase, R.H. (1960). The Problem of Social Cost. Journal of Law and Economics 3, 1–44. The zero-transaction-cost assumption in CWoN’s PV annuity is precisely the assumption that raiders exploit.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OG-010: Price Signals and Payments Regimes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0060b387f083b954db9d0d2eca3d1ac44eb7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2026-04-16T15:15:40.360Z</dcterms:created>
  <dcterms:modified xsi:type="dcterms:W3CDTF">2026-04-16T15:15:40.361Z</dcterms:modified>
</cp:coreProperties>
</file>

<file path=docProps/custom.xml><?xml version="1.0" encoding="utf-8"?>
<Properties xmlns="http://schemas.openxmlformats.org/officeDocument/2006/custom-properties" xmlns:vt="http://schemas.openxmlformats.org/officeDocument/2006/docPropsVTypes"/>
</file>