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sz w:val="22"/>
        </w:rPr>
        <w:t>OG-012</w:t>
      </w:r>
    </w:p>
    <w:p>
      <w:pPr>
        <w:spacing w:after="40"/>
      </w:pPr>
      <w:r>
        <w:rPr>
          <w:rFonts w:ascii="Arial" w:hAnsi="Arial"/>
          <w:b/>
          <w:sz w:val="32"/>
        </w:rPr>
        <w:t>The Quality–Price Entanglement:</w:t>
      </w:r>
    </w:p>
    <w:p>
      <w:pPr>
        <w:spacing w:after="80"/>
      </w:pPr>
      <w:r>
        <w:rPr>
          <w:rFonts w:ascii="Arial" w:hAnsi="Arial"/>
          <w:b/>
          <w:sz w:val="28"/>
        </w:rPr>
        <w:t>Why FAND Uses a Single Deflator and What That Means</w:t>
      </w:r>
    </w:p>
    <w:p>
      <w:pPr>
        <w:spacing w:after="40"/>
      </w:pPr>
      <w:r>
        <w:rPr>
          <w:rFonts w:ascii="Arial" w:hAnsi="Arial"/>
          <w:color w:val="666666"/>
          <w:sz w:val="20"/>
        </w:rPr>
        <w:t>OconEco Operational Guideline OG-012, Version 1.0</w:t>
      </w:r>
    </w:p>
    <w:p>
      <w:pPr>
        <w:spacing w:after="40"/>
      </w:pPr>
      <w:r>
        <w:rPr>
          <w:rFonts w:ascii="Arial" w:hAnsi="Arial"/>
          <w:color w:val="666666"/>
          <w:sz w:val="20"/>
        </w:rPr>
        <w:t>24 May 2026</w:t>
      </w:r>
    </w:p>
    <w:p>
      <w:pPr>
        <w:spacing w:after="240"/>
      </w:pPr>
      <w:r>
        <w:rPr>
          <w:rFonts w:ascii="Arial" w:hAnsi="Arial"/>
          <w:color w:val="666666"/>
          <w:sz w:val="20"/>
        </w:rPr>
        <w:t>Classification: BC_Hybrid (Advocacy + Technical)</w:t>
      </w:r>
    </w:p>
    <w:p>
      <w:pPr>
        <w:spacing w:after="80"/>
        <w:pBdr>
          <w:bottom w:val="single" w:sz="12" w:space="1" w:color="2E75B6"/>
        </w:pBdr>
      </w:pPr>
    </w:p>
    <w:p>
      <w:pPr>
        <w:pStyle w:val="Heading1"/>
      </w:pPr>
      <w:r>
        <w:t>Abstract</w:t>
      </w:r>
    </w:p>
    <w:p>
      <w:r>
        <w:t>Both CWoN and FAND agree that Value equals Quantity times Price. The disagreement is about what to do when Quantity and Price cannot be cleanly separated—which is nearly always. This Guideline establishes the epistemological foundation for FAND’s single-deflator approach and contrasts it with the component-specific deflator methodology used by CWoN and the broader orthodox tradition descending from the International Comparison Program.</w:t>
      </w:r>
    </w:p>
    <w:p>
      <w:r>
        <w:t>The argument proceeds in four steps. Section 1 demonstrates that quality-invariant quantity measurement is achievable only for a vanishingly narrow class of commodities. Section 2 presents a worked example from the ICP Star Exercise in Moscow, where the quality–price entanglement was visible at a vegetable stand. Section 3 formalizes the orthodox and heterodox positions. Section 4 draws operational consequences for the FAND balance sheet.</w:t>
      </w:r>
    </w:p>
    <w:p>
      <w:pPr>
        <w:pStyle w:val="Heading1"/>
      </w:pPr>
      <w:r>
        <w:t>1. The Quality Gradient: From Gold Bars to Tomatoes</w:t>
      </w:r>
    </w:p>
    <w:p>
      <w:pPr>
        <w:pStyle w:val="Heading2"/>
      </w:pPr>
      <w:r>
        <w:t>1.1 The gold bar: the trivial case</w:t>
      </w:r>
    </w:p>
    <w:p>
      <w:r>
        <w:t>Consider a gold bar refined to a specified fineness—say, 99.99% pure, cast to LBMA Good Delivery standards (995+ fineness, 350–430 troy ounces). This is perhaps the only real-world commodity where V = Q × P decomposes without ambiguity across time and place. A Good Delivery bar produced in 1955 is physically identical to one produced in 2025. Quality does not vary by location (a bar in London is identical to a bar in Zurich), does not degrade over time (gold is chemically inert), and requires no hedonic adjustment (the specification is the product). The only variable is P, which is the same everywhere modulo transaction costs—the law of one price holds trivially.</w:t>
      </w:r>
    </w:p>
    <w:p>
      <w:r>
        <w:t>This is the ideal that the V = Q × P decomposition implicitly assumes for all commodities. The question is how quickly reality departs from it.</w:t>
      </w:r>
    </w:p>
    <w:p>
      <w:pPr>
        <w:pStyle w:val="Heading2"/>
      </w:pPr>
      <w:r>
        <w:t>1.2 The iron bar: quality variance in a ‘simple’ commodity</w:t>
      </w:r>
    </w:p>
    <w:p>
      <w:r>
        <w:t>Move one step from gold to an iron bar of specified initial composition. Unlike gold, iron rusts. An identical bar stored in a hermetically sealed chamber and one left on a tropical beach will have different masses, different structural properties, and different market values after a decade. The quality of the ‘same’ quantity has diverged by time and place.</w:t>
      </w:r>
    </w:p>
    <w:p>
      <w:r>
        <w:t>In theory, depreciation handles this—it adjusts Q downward to reflect physical degradation. If the definition is broadened to include obsolescence and functional deterioration, depreciation can in principle absorb all quality change into Q, leaving P as a pure price signal. In practice, quality differences between iron bars in different storage conditions are reflected in local prices (scrap value, structural rating), not in a depreciation schedule applied to the original specification. The P that an observer records in a market already contains quality information.</w:t>
      </w:r>
    </w:p>
    <w:p>
      <w:r>
        <w:t>This is the first crack in the V = Q × P decomposition: once Q cannot be held constant across time and place, the boundary between ‘quantity adjustment’ and ‘price adjustment’ becomes a convention, not a measurement.</w:t>
      </w:r>
    </w:p>
    <w:p>
      <w:pPr>
        <w:pStyle w:val="Heading2"/>
      </w:pPr>
      <w:r>
        <w:t>1.3 Agricultural products: where the entanglement becomes irreducible</w:t>
      </w:r>
    </w:p>
    <w:p>
      <w:r>
        <w:t>Now move from iron bars to tomatoes. A tomato’s quality is multidimensional: size, color, firmness, sugar content, shelf life, growing conditions, variety, season, and distance from harvest. Two tomatoes at the same market stall may command different prices based on visible quality alone. Two tomatoes at different stalls—one from a local greenhouse, one trucked from a distant farm—embed different supply-chain costs into their prices. Two tomatoes in different cities embed different regulatory environments, transport infrastructure, and consumer preferences.</w:t>
      </w:r>
    </w:p>
    <w:p>
      <w:r>
        <w:t>The International Comparison Program (ICP), established in 1968, confronted exactly this problem. To compare price levels across countries—the foundation of purchasing power parities—ICP needed to price identical goods in different markets. For manufactured goods with model numbers, this was tractable (though see OG-004 §2 on the Expenditure-spoke weakness). For agricultural products, it required building hedonic models that attempted to decompose the price of a tomato into a ‘pure’ price component and a ‘quality’ component. The results were fragile, sensitive to specification, and became more fragile as the countries being compared became more structurally different.</w:t>
      </w:r>
    </w:p>
    <w:p>
      <w:pPr>
        <w:pStyle w:val="Heading2"/>
      </w:pPr>
      <w:r>
        <w:t>1.4 The gradient summarized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5E8F0"/>
          </w:tcPr>
          <w:p>
            <w:r/>
            <w:r>
              <w:rPr>
                <w:rFonts w:ascii="Arial" w:hAnsi="Arial"/>
                <w:b/>
                <w:sz w:val="20"/>
              </w:rPr>
              <w:t>Commodity</w:t>
            </w:r>
          </w:p>
        </w:tc>
        <w:tc>
          <w:tcPr>
            <w:tcW w:type="dxa" w:w="2340"/>
            <w:shd w:val="clear" w:color="auto" w:fill="D5E8F0"/>
          </w:tcPr>
          <w:p>
            <w:r/>
            <w:r>
              <w:rPr>
                <w:rFonts w:ascii="Arial" w:hAnsi="Arial"/>
                <w:b/>
                <w:sz w:val="20"/>
              </w:rPr>
              <w:t>Quality Variance</w:t>
            </w:r>
          </w:p>
        </w:tc>
        <w:tc>
          <w:tcPr>
            <w:tcW w:type="dxa" w:w="2340"/>
            <w:shd w:val="clear" w:color="auto" w:fill="D5E8F0"/>
          </w:tcPr>
          <w:p>
            <w:r/>
            <w:r>
              <w:rPr>
                <w:rFonts w:ascii="Arial" w:hAnsi="Arial"/>
                <w:b/>
                <w:sz w:val="20"/>
              </w:rPr>
              <w:t>P–Q Separability</w:t>
            </w:r>
          </w:p>
        </w:tc>
        <w:tc>
          <w:tcPr>
            <w:tcW w:type="dxa" w:w="2340"/>
            <w:shd w:val="clear" w:color="auto" w:fill="D5E8F0"/>
          </w:tcPr>
          <w:p>
            <w:r/>
            <w:r>
              <w:rPr>
                <w:rFonts w:ascii="Arial" w:hAnsi="Arial"/>
                <w:b/>
                <w:sz w:val="20"/>
              </w:rPr>
              <w:t>Implication</w:t>
            </w:r>
          </w:p>
        </w:tc>
      </w:tr>
      <w:tr>
        <w:tc>
          <w:tcPr>
            <w:tcW w:type="dxa" w:w="2340"/>
          </w:tcPr>
          <w:p>
            <w:r/>
            <w:r>
              <w:rPr>
                <w:rFonts w:ascii="Arial" w:hAnsi="Arial"/>
                <w:sz w:val="20"/>
              </w:rPr>
              <w:t>Gold bar</w:t>
              <w:br/>
              <w:t>(LBMA spec)</w:t>
            </w:r>
          </w:p>
        </w:tc>
        <w:tc>
          <w:tcPr>
            <w:tcW w:type="dxa" w:w="2340"/>
          </w:tcPr>
          <w:p>
            <w:r/>
            <w:r>
              <w:rPr>
                <w:rFonts w:ascii="Arial" w:hAnsi="Arial"/>
                <w:sz w:val="20"/>
              </w:rPr>
              <w:t>None (chemically inert, spec-defined)</w:t>
            </w:r>
          </w:p>
        </w:tc>
        <w:tc>
          <w:tcPr>
            <w:tcW w:type="dxa" w:w="2340"/>
          </w:tcPr>
          <w:p>
            <w:r/>
            <w:r>
              <w:rPr>
                <w:rFonts w:ascii="Arial" w:hAnsi="Arial"/>
                <w:sz w:val="20"/>
              </w:rPr>
              <w:t>Perfect</w:t>
            </w:r>
          </w:p>
        </w:tc>
        <w:tc>
          <w:tcPr>
            <w:tcW w:type="dxa" w:w="2340"/>
          </w:tcPr>
          <w:p>
            <w:r/>
            <w:r>
              <w:rPr>
                <w:rFonts w:ascii="Arial" w:hAnsi="Arial"/>
                <w:sz w:val="20"/>
              </w:rPr>
              <w:t>Law of one price holds. V = Q × P is exact.</w:t>
            </w:r>
          </w:p>
        </w:tc>
      </w:tr>
      <w:tr>
        <w:tc>
          <w:tcPr>
            <w:tcW w:type="dxa" w:w="2340"/>
          </w:tcPr>
          <w:p>
            <w:r/>
            <w:r>
              <w:rPr>
                <w:rFonts w:ascii="Arial" w:hAnsi="Arial"/>
                <w:sz w:val="20"/>
              </w:rPr>
              <w:t>Iron bar</w:t>
            </w:r>
          </w:p>
        </w:tc>
        <w:tc>
          <w:tcPr>
            <w:tcW w:type="dxa" w:w="2340"/>
          </w:tcPr>
          <w:p>
            <w:r/>
            <w:r>
              <w:rPr>
                <w:rFonts w:ascii="Arial" w:hAnsi="Arial"/>
                <w:sz w:val="20"/>
              </w:rPr>
              <w:t>Time/place (rust, brittleness)</w:t>
            </w:r>
          </w:p>
        </w:tc>
        <w:tc>
          <w:tcPr>
            <w:tcW w:type="dxa" w:w="2340"/>
          </w:tcPr>
          <w:p>
            <w:r/>
            <w:r>
              <w:rPr>
                <w:rFonts w:ascii="Arial" w:hAnsi="Arial"/>
                <w:sz w:val="20"/>
              </w:rPr>
              <w:t>Approximate</w:t>
            </w:r>
          </w:p>
        </w:tc>
        <w:tc>
          <w:tcPr>
            <w:tcW w:type="dxa" w:w="2340"/>
          </w:tcPr>
          <w:p>
            <w:r/>
            <w:r>
              <w:rPr>
                <w:rFonts w:ascii="Arial" w:hAnsi="Arial"/>
                <w:sz w:val="20"/>
              </w:rPr>
              <w:t>Depreciation partially absorbs quality change; remainder shows up in local P.</w:t>
            </w:r>
          </w:p>
        </w:tc>
      </w:tr>
      <w:tr>
        <w:tc>
          <w:tcPr>
            <w:tcW w:type="dxa" w:w="2340"/>
          </w:tcPr>
          <w:p>
            <w:r/>
            <w:r>
              <w:rPr>
                <w:rFonts w:ascii="Arial" w:hAnsi="Arial"/>
                <w:sz w:val="20"/>
              </w:rPr>
              <w:t>Agricultural</w:t>
              <w:br/>
              <w:t>products</w:t>
            </w:r>
          </w:p>
        </w:tc>
        <w:tc>
          <w:tcPr>
            <w:tcW w:type="dxa" w:w="2340"/>
          </w:tcPr>
          <w:p>
            <w:r/>
            <w:r>
              <w:rPr>
                <w:rFonts w:ascii="Arial" w:hAnsi="Arial"/>
                <w:sz w:val="20"/>
              </w:rPr>
              <w:t>Multidimensional (size, taste, freshness, variety)</w:t>
            </w:r>
          </w:p>
        </w:tc>
        <w:tc>
          <w:tcPr>
            <w:tcW w:type="dxa" w:w="2340"/>
          </w:tcPr>
          <w:p>
            <w:r/>
            <w:r>
              <w:rPr>
                <w:rFonts w:ascii="Arial" w:hAnsi="Arial"/>
                <w:sz w:val="20"/>
              </w:rPr>
              <w:t>Fragile</w:t>
            </w:r>
          </w:p>
        </w:tc>
        <w:tc>
          <w:tcPr>
            <w:tcW w:type="dxa" w:w="2340"/>
          </w:tcPr>
          <w:p>
            <w:r/>
            <w:r>
              <w:rPr>
                <w:rFonts w:ascii="Arial" w:hAnsi="Arial"/>
                <w:sz w:val="20"/>
              </w:rPr>
              <w:t>Hedonic models required; results are specification-dependent.</w:t>
            </w:r>
          </w:p>
        </w:tc>
      </w:tr>
      <w:tr>
        <w:tc>
          <w:tcPr>
            <w:tcW w:type="dxa" w:w="2340"/>
          </w:tcPr>
          <w:p>
            <w:r/>
            <w:r>
              <w:rPr>
                <w:rFonts w:ascii="Arial" w:hAnsi="Arial"/>
                <w:sz w:val="20"/>
              </w:rPr>
              <w:t>Produced assets</w:t>
              <w:br/>
              <w:t>(machines, buildings)</w:t>
            </w:r>
          </w:p>
        </w:tc>
        <w:tc>
          <w:tcPr>
            <w:tcW w:type="dxa" w:w="2340"/>
          </w:tcPr>
          <w:p>
            <w:r/>
            <w:r>
              <w:rPr>
                <w:rFonts w:ascii="Arial" w:hAnsi="Arial"/>
                <w:sz w:val="20"/>
              </w:rPr>
              <w:t>Vintage, technology, maintenance, obsolescence</w:t>
            </w:r>
          </w:p>
        </w:tc>
        <w:tc>
          <w:tcPr>
            <w:tcW w:type="dxa" w:w="2340"/>
          </w:tcPr>
          <w:p>
            <w:r/>
            <w:r>
              <w:rPr>
                <w:rFonts w:ascii="Arial" w:hAnsi="Arial"/>
                <w:sz w:val="20"/>
              </w:rPr>
              <w:t>Weak</w:t>
            </w:r>
          </w:p>
        </w:tc>
        <w:tc>
          <w:tcPr>
            <w:tcW w:type="dxa" w:w="2340"/>
          </w:tcPr>
          <w:p>
            <w:r/>
            <w:r>
              <w:rPr>
                <w:rFonts w:ascii="Arial" w:hAnsi="Arial"/>
                <w:sz w:val="20"/>
              </w:rPr>
              <w:t>Capital stock deflators embed strong implicit claims about embodied technical change.</w:t>
            </w:r>
          </w:p>
        </w:tc>
      </w:tr>
      <w:tr>
        <w:tc>
          <w:tcPr>
            <w:tcW w:type="dxa" w:w="2340"/>
          </w:tcPr>
          <w:p>
            <w:r/>
            <w:r>
              <w:rPr>
                <w:rFonts w:ascii="Arial" w:hAnsi="Arial"/>
                <w:sz w:val="20"/>
              </w:rPr>
              <w:t>Human capital</w:t>
            </w:r>
          </w:p>
        </w:tc>
        <w:tc>
          <w:tcPr>
            <w:tcW w:type="dxa" w:w="2340"/>
          </w:tcPr>
          <w:p>
            <w:r/>
            <w:r>
              <w:rPr>
                <w:rFonts w:ascii="Arial" w:hAnsi="Arial"/>
                <w:sz w:val="20"/>
              </w:rPr>
              <w:t>Education quality, health systems, labor market institutions</w:t>
            </w:r>
          </w:p>
        </w:tc>
        <w:tc>
          <w:tcPr>
            <w:tcW w:type="dxa" w:w="2340"/>
          </w:tcPr>
          <w:p>
            <w:r/>
            <w:r>
              <w:rPr>
                <w:rFonts w:ascii="Arial" w:hAnsi="Arial"/>
                <w:sz w:val="20"/>
              </w:rPr>
              <w:t>Near-zero</w:t>
            </w:r>
          </w:p>
        </w:tc>
        <w:tc>
          <w:tcPr>
            <w:tcW w:type="dxa" w:w="2340"/>
          </w:tcPr>
          <w:p>
            <w:r/>
            <w:r>
              <w:rPr>
                <w:rFonts w:ascii="Arial" w:hAnsi="Arial"/>
                <w:sz w:val="20"/>
              </w:rPr>
              <w:t>A ‘year of schooling’ in Finland vs. Niger is not the same quantity. Any deflator is an assertion.</w:t>
            </w:r>
          </w:p>
        </w:tc>
      </w:tr>
    </w:tbl>
    <w:p/>
    <w:p>
      <w:r>
        <w:t>As one descends this gradient, the share of the observed price that is ‘pure price’ versus ‘quality signal’ becomes progressively more uncertain. By the time we reach the assets on a national balance sheet—produced assets, natural capital, human capital—the P–Q decomposition is not approximate. It is a modeling choice that embeds substantive economic claims.</w:t>
      </w:r>
    </w:p>
    <w:p>
      <w:pPr>
        <w:pStyle w:val="Heading1"/>
      </w:pPr>
      <w:r>
        <w:t>2. A Worked Example: The Moscow Produce Market</w:t>
      </w:r>
    </w:p>
    <w:p>
      <w:r>
        <w:t>The following episode occurred during the setup of the ICP Star Exercise linking Vienna to Moscow, part of the broader programme to connect price observations across the Iron Curtain. The Vienna Star used Austria’s statistical office as a hub, with spokes reaching into major cities in both Eastern (socialist) and Western (market) Europe. The special methodological contribution of the Vienna market was that it sold produce from both systems side by side, creating a natural laboratory for hedonic price comparison.</w:t>
      </w:r>
    </w:p>
    <w:p>
      <w:r>
        <w:t>For the Moscow extension, the exercise began with agricultural products—the commodity class where quality–price entanglement is most visible—before progressing to other tradeables and then to nontradeables.</w:t>
      </w:r>
    </w:p>
    <w:p>
      <w:r>
        <w:t>At a four-story produce market in Moscow, three institutional channels sold tomatoes side by side on the ground floor. State-run booths, staffed by properly dressed employees, offered small green tomatoes at approximately one ruble per kilogram. No customers queued. Cooperative booths sold somewhat better-looking, larger tomatoes at roughly two rubles. A few shoppers considered their wares. At the far end of the hall, a crowd surrounded the private sellers, who offered large, ripe, attractive tomatoes at five rubles per kilogram.</w:t>
      </w:r>
    </w:p>
    <w:p>
      <w:r>
        <w:t>Investigation revealed that one private seller was a Latvian family that grew tomatoes in the Baltics and flew fresh product to Moscow daily. Soviet-era airfares were so heavily subsidized that the family could profitably air-freight tomatoes and undercut the quality available through state and cooperative channels. There was no pre-sorting: the quality differential was real, driven by different growing conditions, incentive structures, and supply-chain entrepreneurship.</w:t>
      </w:r>
    </w:p>
    <w:p>
      <w:pPr>
        <w:pStyle w:val="Heading2"/>
      </w:pPr>
      <w:r>
        <w:t>2.1 The analytical extraction</w:t>
      </w:r>
    </w:p>
    <w:p>
      <w:r>
        <w:t>For the ICP methodology, constructing a single ‘price of tomatoes in Moscow’ required choosing which tomatoes to price. A unit-value approach (total ruble expenditure divided by total kilograms) would produce a number around two to three rubles—a weighted average that reflected the revealed-preference mix of price-sensitive and quality-sensitive consumers. A specification approach (pricing ‘medium-sized red tomatoes’) would price either the cooperative product or the private product, depending on whether ‘medium-sized red’ was interpreted as ‘available’ or ‘representative of what people actually buy.’</w:t>
      </w:r>
    </w:p>
    <w:p>
      <w:r>
        <w:t>Neither approach separates quality from price. The five-ruble tomato is not five times the quantity of the one-ruble tomato—it is a different product whose price embeds information about growing conditions, transport innovation, and institutional structure. The quality adjustment that the deflator is supposed to perform is precisely the adjustment that no statistical convention can make without embedding a judgment about what ‘the same tomato’ means.</w:t>
      </w:r>
    </w:p>
    <w:p>
      <w:r>
        <w:t>Now scale this from a vegetable stand to the components of a national balance sheet: produced assets whose vintage and embodied technology vary across countries, human capital whose ‘years of schooling’ differ in content across education systems, natural capital whose commodity baskets reflect different resource endowments. The quality–price entanglement does not diminish as one aggregates—it compounds.</w:t>
      </w:r>
    </w:p>
    <w:p>
      <w:pPr>
        <w:pStyle w:val="Heading1"/>
      </w:pPr>
      <w:r>
        <w:t>3. Orthodox and Heterodox Positions</w:t>
      </w:r>
    </w:p>
    <w:p>
      <w:pPr>
        <w:pStyle w:val="Heading2"/>
      </w:pPr>
      <w:r>
        <w:t>3.1 The orthodox position (ICP–PWT–CWoN lineage)</w:t>
      </w:r>
    </w:p>
    <w:p>
      <w:r>
        <w:t>The orthodox position holds that V = Q × P can always be decomposed cleanly if sufficient methodological investment is made in hedonic adjustment, basket specification, and chained index construction. Quality changes alter Q; the deflator isolates ‘pure’ P; the resulting ‘real’ series is meaningful for cross-component and cross-country comparison.</w:t>
      </w:r>
    </w:p>
    <w:p>
      <w:r>
        <w:t>CWoN operationalizes this with component-specific chained deflators, each with its own base year (2019 = 100):</w:t>
      </w:r>
    </w:p>
    <w:p>
      <w:pPr>
        <w:pStyle w:val="ListBullet"/>
        <w:spacing w:after="80"/>
      </w:pPr>
      <w:r>
        <w:rPr>
          <w:rFonts w:ascii="Arial" w:hAnsi="Arial"/>
          <w:sz w:val="22"/>
        </w:rPr>
        <w:t>Produced assets: Penn World Table capital stock deflator (torn_real_pk / pk_cd), reflecting investment goods price indices with quality adjustment for embodied technical change.</w:t>
      </w:r>
    </w:p>
    <w:p>
      <w:pPr>
        <w:pStyle w:val="ListBullet"/>
        <w:spacing w:after="80"/>
      </w:pPr>
      <w:r>
        <w:rPr>
          <w:rFonts w:ascii="Arial" w:hAnsi="Arial"/>
          <w:sz w:val="22"/>
        </w:rPr>
        <w:t>Human capital: Jorgenson–Fraumeni lifetime earnings deflator, reflecting wage indices, discount rates, and survival probabilities—each of which embeds quality assumptions about labor productivity.</w:t>
      </w:r>
    </w:p>
    <w:p>
      <w:pPr>
        <w:pStyle w:val="ListBullet"/>
        <w:spacing w:after="80"/>
      </w:pPr>
      <w:r>
        <w:rPr>
          <w:rFonts w:ascii="Arial" w:hAnsi="Arial"/>
          <w:sz w:val="22"/>
        </w:rPr>
        <w:t>Natural capital: commodity-specific price deflators drawn from World Bank pink sheets, UN Comtrade unit values, and resource-rent estimates.</w:t>
      </w:r>
    </w:p>
    <w:p>
      <w:r>
        <w:t>The consequence, as demonstrated empirically in Appendix E (Comparative Analysis, slides 3–4), is that the ratio of any two component deflators can range from 0.15× to 7.5× across countries and years. China’s PA/HC deflator ratio reaches 7.5—meaning CWoN’s constant-dollar treatment implicitly claims that produced assets became seven and a half times more expensive relative to human capital over four decades. Indonesia shows a comparable 7.4×, driven by the 1997–98 Asian financial crisis. India reaches 7.4×. Even France, an advanced OECD economy, ranges from 1.0× to 2.0×.</w:t>
      </w:r>
    </w:p>
    <w:p>
      <w:r>
        <w:t>These are not measurement errors. They are the necessary consequence of applying independent deflators to components whose quality–price boundaries are drawn by different conventions. The PA deflator says something about embodied technology in capital goods. The HC deflator says something about wage growth relative to longevity. Neither says anything about the other—yet their ratio is presented as a ‘real’ relative-price signal in the CWoN wealth accounts.</w:t>
      </w:r>
    </w:p>
    <w:p>
      <w:pPr>
        <w:pStyle w:val="Heading2"/>
      </w:pPr>
      <w:r>
        <w:t>3.2 The heterodox position (FAND)</w:t>
      </w:r>
    </w:p>
    <w:p>
      <w:r>
        <w:t>The heterodox position starts from the same V = Q × P identity but draws a different operational conclusion. If all quality adjustments are claimed to alter Q—the orthodox premise—then the law of one price must hold, because Q has absorbed all quality variance and P is a pure numeraire signal. But if the law of one price holds, then it must actually be applied: there should be one price, not a different deflator for each component.</w:t>
      </w:r>
    </w:p>
    <w:p>
      <w:r>
        <w:t>FAND uses the US GDP deflator as that single price. Every component of the balance sheet—PA, NC, HR, CW—is deflated by the same factor: the ratio of Atlas GNI in current dollars to Atlas GNI in constant 2020 dollars. This is equivalent to saying that relative price movements across components are real economic phenomena, not measurement noise to be deflated away.</w:t>
      </w:r>
    </w:p>
    <w:p>
      <w:r>
        <w:t>Three properties follow:</w:t>
      </w:r>
    </w:p>
    <w:p>
      <w:pPr>
        <w:pStyle w:val="ListBullet"/>
        <w:spacing w:after="80"/>
      </w:pPr>
      <w:r>
        <w:rPr>
          <w:rFonts w:ascii="Arial" w:hAnsi="Arial"/>
          <w:sz w:val="22"/>
        </w:rPr>
        <w:t>Transparency. The deflator is a single, published, reproducible number. There are no component-specific black boxes whose interaction produces the 7.5× ratios visible in the CWoN accounts.</w:t>
      </w:r>
    </w:p>
    <w:p>
      <w:pPr>
        <w:pStyle w:val="ListBullet"/>
        <w:spacing w:after="80"/>
      </w:pPr>
      <w:r>
        <w:rPr>
          <w:rFonts w:ascii="Arial" w:hAnsi="Arial"/>
          <w:sz w:val="22"/>
        </w:rPr>
        <w:t>Agnosticism about relative prices. FAND makes no claim about whether produced assets have become cheaper or more expensive relative to human capital. It reports the nominal composition and lets relative price movements stand as data, not as artifacts of the deflator machinery.</w:t>
      </w:r>
    </w:p>
    <w:p>
      <w:pPr>
        <w:pStyle w:val="ListBullet"/>
        <w:spacing w:after="80"/>
      </w:pPr>
      <w:r>
        <w:rPr>
          <w:rFonts w:ascii="Arial" w:hAnsi="Arial"/>
          <w:sz w:val="22"/>
        </w:rPr>
        <w:t>Humility about quality measurement. FAND admits that ‘real’ cross-component comparisons require more humility about what prices can tell us than the orthodox tradition is prepared to offer. The single deflator is not a claim that quality does not change—it is a claim that we cannot reliably separate quality change from price change at the precision required for national balance-sheet construction.</w:t>
      </w:r>
    </w:p>
    <w:p>
      <w:pPr>
        <w:pStyle w:val="Heading2"/>
      </w:pPr>
      <w:r>
        <w:t>3.3 The disagreement in one sentence</w:t>
      </w:r>
    </w:p>
    <w:p>
      <w:r>
        <w:t>The orthodox position invests in separating quality from price, component by component, and presents the result as ‘real’ wealth. The heterodox position invests in admitting the inseparability, uses one deflator, and presents relative price movements as real economic signals. The empirical question is whether the 7.5× cross-component ratios produced by the orthodox approach contain more information or more noise. Appendix E suggests noise dominates.</w:t>
      </w:r>
    </w:p>
    <w:p>
      <w:pPr>
        <w:pStyle w:val="Heading1"/>
      </w:pPr>
      <w:r>
        <w:t>4. Operational Consequences for the FAND Balance Sheet</w:t>
      </w:r>
    </w:p>
    <w:p>
      <w:pPr>
        <w:pStyle w:val="Heading2"/>
      </w:pPr>
      <w:r>
        <w:t>4.1 Current-price primacy (connection to OG-005)</w:t>
      </w:r>
    </w:p>
    <w:p>
      <w:r>
        <w:t>OG-005 establishes that nominal values in Atlas-converted US dollars are the primary statement of the FAND balance sheet. This Guideline provides the epistemological foundation for that rule: current prices are primary because they are the only values that do not require solving the quality–price entanglement. The deflated series is a secondary analytical convenience, produced by dividing by a single published deflator, not by operating a component-specific hedonic-adjustment pipeline.</w:t>
      </w:r>
    </w:p>
    <w:p>
      <w:pPr>
        <w:pStyle w:val="Heading2"/>
      </w:pPr>
      <w:r>
        <w:t>4.2 PPP avoidance (connection to OG-004)</w:t>
      </w:r>
    </w:p>
    <w:p>
      <w:r>
        <w:t>OG-004 documents why FAND avoids purchasing power parities for balance-sheet construction. This Guideline adds the quality-gradient argument: PPP is the ICP’s answer to the cross-country quality–price entanglement, built on the Expenditure spoke of Knight’s Wheel—the weakest, most residual-laden measurement of national output. The Moscow tomato market shows what the ICP methodology encounters at the ground level. Aggregating those fragile adjustments to the national level and then applying them to asset stocks (which ICP does not even price—see OG-004 §3) compounds the fragility.</w:t>
      </w:r>
    </w:p>
    <w:p>
      <w:pPr>
        <w:pStyle w:val="Heading2"/>
      </w:pPr>
      <w:r>
        <w:t>4.3 Implicit deflator as diagnostic</w:t>
      </w:r>
    </w:p>
    <w:p>
      <w:r>
        <w:t>The implicit deflator ratios shown in Appendix E (slides 3–5) serve as a diagnostic for the orthodox approach, not as a criticism of the CWoN team’s technical competence. The ratios are the mathematically necessary consequence of applying different deflators to different components. Any system that uses component-specific deflation will produce analogous ratios. The question is whether those ratios are informative (telling us something real about relative scarcity) or artifactual (telling us something about the deflator machinery). FAND’s position is that they are predominantly artifactual, for the reasons set out in Sections 1–3.</w:t>
      </w:r>
    </w:p>
    <w:p>
      <w:pPr>
        <w:pStyle w:val="Heading2"/>
      </w:pPr>
      <w:r>
        <w:t>4.4 Schema implication for Sean / fand-api</w:t>
      </w:r>
    </w:p>
    <w:p>
      <w:r>
        <w:t>When FAND reports ‘real’ values (constant 2020 USD), the word ‘real’ means ‘deflated by a single US GDP deflator.’ It does NOT mean ‘quality-adjusted volume’ in the SNA/ICP sense. The fand-api metadata layer should carry a deflator_method field with value ‘SINGLE_UNIVERSAL’ for FAND series and ‘COMPONENT_SPECIFIC_CHAINED’ for CWoN cross-validation series. This distinction is structural, not cosmetic.</w:t>
      </w:r>
    </w:p>
    <w:p>
      <w:pPr>
        <w:pStyle w:val="Heading1"/>
      </w:pPr>
      <w:r>
        <w:t>5. Relationship to Other OconEco Guidelines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5E8F0"/>
          </w:tcPr>
          <w:p>
            <w:r/>
            <w:r>
              <w:rPr>
                <w:rFonts w:ascii="Arial" w:hAnsi="Arial"/>
                <w:b/>
                <w:sz w:val="20"/>
              </w:rPr>
              <w:t>Guideline</w:t>
            </w:r>
          </w:p>
        </w:tc>
        <w:tc>
          <w:tcPr>
            <w:tcW w:type="dxa" w:w="3120"/>
            <w:shd w:val="clear" w:color="auto" w:fill="D5E8F0"/>
          </w:tcPr>
          <w:p>
            <w:r/>
            <w:r>
              <w:rPr>
                <w:rFonts w:ascii="Arial" w:hAnsi="Arial"/>
                <w:b/>
                <w:sz w:val="20"/>
              </w:rPr>
              <w:t>Subject</w:t>
            </w:r>
          </w:p>
        </w:tc>
        <w:tc>
          <w:tcPr>
            <w:tcW w:type="dxa" w:w="3120"/>
            <w:shd w:val="clear" w:color="auto" w:fill="D5E8F0"/>
          </w:tcPr>
          <w:p>
            <w:r/>
            <w:r>
              <w:rPr>
                <w:rFonts w:ascii="Arial" w:hAnsi="Arial"/>
                <w:b/>
                <w:sz w:val="20"/>
              </w:rPr>
              <w:t>Relationship to OG-012</w:t>
            </w:r>
          </w:p>
        </w:tc>
      </w:tr>
      <w:tr>
        <w:tc>
          <w:tcPr>
            <w:tcW w:type="dxa" w:w="3120"/>
          </w:tcPr>
          <w:p>
            <w:r/>
            <w:r>
              <w:rPr>
                <w:rFonts w:ascii="Arial" w:hAnsi="Arial"/>
                <w:sz w:val="20"/>
              </w:rPr>
              <w:t>OG-004</w:t>
            </w:r>
          </w:p>
        </w:tc>
        <w:tc>
          <w:tcPr>
            <w:tcW w:type="dxa" w:w="3120"/>
          </w:tcPr>
          <w:p>
            <w:r/>
            <w:r>
              <w:rPr>
                <w:rFonts w:ascii="Arial" w:hAnsi="Arial"/>
                <w:sz w:val="20"/>
              </w:rPr>
              <w:t>PPP Conversion Protocols</w:t>
            </w:r>
          </w:p>
        </w:tc>
        <w:tc>
          <w:tcPr>
            <w:tcW w:type="dxa" w:w="3120"/>
          </w:tcPr>
          <w:p>
            <w:r/>
            <w:r>
              <w:rPr>
                <w:rFonts w:ascii="Arial" w:hAnsi="Arial"/>
                <w:sz w:val="20"/>
              </w:rPr>
              <w:t>OG-004 documents the institutional history of PPP and why FAND avoids it. OG-012 adds the epistemological argument: PPP fails because the quality–price entanglement cannot be solved at the precision it requires.</w:t>
            </w:r>
          </w:p>
        </w:tc>
      </w:tr>
      <w:tr>
        <w:tc>
          <w:tcPr>
            <w:tcW w:type="dxa" w:w="3120"/>
          </w:tcPr>
          <w:p>
            <w:r/>
            <w:r>
              <w:rPr>
                <w:rFonts w:ascii="Arial" w:hAnsi="Arial"/>
                <w:sz w:val="20"/>
              </w:rPr>
              <w:t>OG-005</w:t>
            </w:r>
          </w:p>
        </w:tc>
        <w:tc>
          <w:tcPr>
            <w:tcW w:type="dxa" w:w="3120"/>
          </w:tcPr>
          <w:p>
            <w:r/>
            <w:r>
              <w:rPr>
                <w:rFonts w:ascii="Arial" w:hAnsi="Arial"/>
                <w:sz w:val="20"/>
              </w:rPr>
              <w:t>Current-Price Primacy and Titration</w:t>
            </w:r>
          </w:p>
        </w:tc>
        <w:tc>
          <w:tcPr>
            <w:tcW w:type="dxa" w:w="3120"/>
          </w:tcPr>
          <w:p>
            <w:r/>
            <w:r>
              <w:rPr>
                <w:rFonts w:ascii="Arial" w:hAnsi="Arial"/>
                <w:sz w:val="20"/>
              </w:rPr>
              <w:t>OG-005 establishes nominal as primary. OG-012 explains why: current prices are the only values that do not require solving the entanglement.</w:t>
            </w:r>
          </w:p>
        </w:tc>
      </w:tr>
      <w:tr>
        <w:tc>
          <w:tcPr>
            <w:tcW w:type="dxa" w:w="3120"/>
          </w:tcPr>
          <w:p>
            <w:r/>
            <w:r>
              <w:rPr>
                <w:rFonts w:ascii="Arial" w:hAnsi="Arial"/>
                <w:sz w:val="20"/>
              </w:rPr>
              <w:t>OG-007</w:t>
            </w:r>
          </w:p>
        </w:tc>
        <w:tc>
          <w:tcPr>
            <w:tcW w:type="dxa" w:w="3120"/>
          </w:tcPr>
          <w:p>
            <w:r/>
            <w:r>
              <w:rPr>
                <w:rFonts w:ascii="Arial" w:hAnsi="Arial"/>
                <w:sz w:val="20"/>
              </w:rPr>
              <w:t>Governance, Wealth, and Wēle Across Territorial Levels</w:t>
            </w:r>
          </w:p>
        </w:tc>
        <w:tc>
          <w:tcPr>
            <w:tcW w:type="dxa" w:w="3120"/>
          </w:tcPr>
          <w:p>
            <w:r/>
            <w:r>
              <w:rPr>
                <w:rFonts w:ascii="Arial" w:hAnsi="Arial"/>
                <w:sz w:val="20"/>
              </w:rPr>
              <w:t>OG-007 describes the productive-stock interpretation. OG-012 explains why the productive stock is measured in current dollars rather than ‘constant’ dollars.</w:t>
            </w:r>
          </w:p>
        </w:tc>
      </w:tr>
      <w:tr>
        <w:tc>
          <w:tcPr>
            <w:tcW w:type="dxa" w:w="3120"/>
          </w:tcPr>
          <w:p>
            <w:r/>
            <w:r>
              <w:rPr>
                <w:rFonts w:ascii="Arial" w:hAnsi="Arial"/>
                <w:sz w:val="20"/>
              </w:rPr>
              <w:t>Appendix E</w:t>
            </w:r>
          </w:p>
        </w:tc>
        <w:tc>
          <w:tcPr>
            <w:tcW w:type="dxa" w:w="3120"/>
          </w:tcPr>
          <w:p>
            <w:r/>
            <w:r>
              <w:rPr>
                <w:rFonts w:ascii="Arial" w:hAnsi="Arial"/>
                <w:sz w:val="20"/>
              </w:rPr>
              <w:t>Comparative Analysis: FAND vs CWoN</w:t>
            </w:r>
          </w:p>
        </w:tc>
        <w:tc>
          <w:tcPr>
            <w:tcW w:type="dxa" w:w="3120"/>
          </w:tcPr>
          <w:p>
            <w:r/>
            <w:r>
              <w:rPr>
                <w:rFonts w:ascii="Arial" w:hAnsi="Arial"/>
                <w:sz w:val="20"/>
              </w:rPr>
              <w:t>The empirical exhibit. Slides 3–5 show the implicit deflator ratios that the entanglement produces. OG-012 provides the theory; Appendix E provides the data.</w:t>
            </w:r>
          </w:p>
        </w:tc>
      </w:tr>
    </w:tbl>
    <w:p/>
    <w:p>
      <w:pPr>
        <w:spacing w:before="360"/>
        <w:pBdr>
          <w:top w:val="single" w:sz="8" w:space="1" w:color="2E75B6"/>
        </w:pBdr>
      </w:pPr>
    </w:p>
    <w:p>
      <w:pPr>
        <w:spacing w:after="80"/>
      </w:pPr>
      <w:r>
        <w:rPr>
          <w:rFonts w:ascii="Arial" w:hAnsi="Arial"/>
          <w:b/>
          <w:color w:val="666666"/>
          <w:sz w:val="20"/>
        </w:rPr>
        <w:t>Version History</w:t>
      </w:r>
    </w:p>
    <w:p>
      <w:pPr>
        <w:spacing w:after="80"/>
      </w:pPr>
      <w:r>
        <w:rPr>
          <w:rFonts w:ascii="Arial" w:hAnsi="Arial"/>
          <w:color w:val="666666"/>
          <w:sz w:val="18"/>
        </w:rPr>
        <w:t>v1.0 (24 May 2026): Initial version. Drafted Session 316 from John O’Connor’s ICP Star Exercise experience and the orthodox/heterodox framing introduced in collaboration with Sean.</w:t>
      </w:r>
    </w:p>
    <w:p>
      <w:pPr>
        <w:spacing w:after="80"/>
      </w:pPr>
      <w:r>
        <w:rPr>
          <w:rFonts w:ascii="Arial" w:hAnsi="Arial"/>
          <w:color w:val="666666"/>
          <w:sz w:val="18"/>
        </w:rPr>
        <w:t>Cross-references: Appendix E Comparative Analysis v7 (BC_Hybrid/Presentations/), balance-sheet-identity.md, mep-redux.md, OG-004, OG-005.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F497D"/>
      <w:sz w:val="2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