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spacing w:after="0" w:before="0" w:line="48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itefhqx92f29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Appendix</w:t>
      </w:r>
    </w:p>
    <w:p w:rsidR="00000000" w:rsidDel="00000000" w:rsidP="00000000" w:rsidRDefault="00000000" w:rsidRPr="00000000" w14:paraId="00000002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A. Code Repository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:All code is available in the attached Jupyter notebook - 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AAI_521FinalProject.ipynb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B. Loss and Accuracy Plots for Training vs. Validation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43434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C. Visualizing the samples with Grad-CAM</w:t>
      </w:r>
    </w:p>
    <w:p w:rsidR="00000000" w:rsidDel="00000000" w:rsidP="00000000" w:rsidRDefault="00000000" w:rsidRPr="00000000" w14:paraId="00000005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098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D. Dataset Information: 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https://www.kaggle.com/datasets/andrewmvd/lung-and-colon-cancer-histopathological-images/data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kaggle.com/datasets/andrewmvd/lung-and-colon-cancer-histopathological-images/data" TargetMode="External"/><Relationship Id="rId5" Type="http://schemas.openxmlformats.org/officeDocument/2006/relationships/styles" Target="styles.xml"/><Relationship Id="rId6" Type="http://schemas.openxmlformats.org/officeDocument/2006/relationships/hyperlink" Target="https://github.com/seanpaz478/USDAAI521Team1FinalProject/blob/main/AAI_521FinalProject.ipynb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