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bookmarkStart w:id="0" w:name="mozilla-public-license-version-2.0"/>
      <w:bookmarkEnd w:id="0"/>
      <w:r>
        <w:rPr/>
        <w:t>Mozilla Public License</w:t>
        <w:br/>
        <w:t>Version 2.0</w:t>
      </w:r>
    </w:p>
    <w:p>
      <w:pPr>
        <w:pStyle w:val="Heading2"/>
        <w:rPr/>
      </w:pPr>
      <w:bookmarkStart w:id="1" w:name="definitions"/>
      <w:bookmarkEnd w:id="1"/>
      <w:r>
        <w:rPr/>
        <w:t>1. Definitions</w:t>
      </w:r>
    </w:p>
    <w:p>
      <w:pPr>
        <w:pStyle w:val="ListHeading"/>
        <w:spacing w:before="0" w:after="283"/>
        <w:rPr/>
      </w:pPr>
      <w:r>
        <w:rPr/>
        <w:t xml:space="preserve">1.1. “Contributor” </w:t>
      </w:r>
    </w:p>
    <w:p>
      <w:pPr>
        <w:pStyle w:val="ListContents"/>
        <w:spacing w:before="0" w:after="283"/>
        <w:rPr/>
      </w:pPr>
      <w:r>
        <w:rPr/>
        <w:t>means each individual or legal entity that creates, contributes to the creation of, or owns Covered Software.</w:t>
      </w:r>
    </w:p>
    <w:p>
      <w:pPr>
        <w:pStyle w:val="ListHeading"/>
        <w:spacing w:before="0" w:after="283"/>
        <w:rPr/>
      </w:pPr>
      <w:r>
        <w:rPr/>
        <w:t xml:space="preserve">1.2. “Contributor Version” </w:t>
      </w:r>
    </w:p>
    <w:p>
      <w:pPr>
        <w:pStyle w:val="ListContents"/>
        <w:spacing w:before="0" w:after="283"/>
        <w:rPr/>
      </w:pPr>
      <w:r>
        <w:rPr/>
        <w:t>means the combination of the Contributions of others (if any) used by a Contributor and that particular Contributor’s Contribution.</w:t>
      </w:r>
    </w:p>
    <w:p>
      <w:pPr>
        <w:pStyle w:val="ListHeading"/>
        <w:spacing w:before="0" w:after="283"/>
        <w:rPr/>
      </w:pPr>
      <w:r>
        <w:rPr/>
        <w:t xml:space="preserve">1.3. “Contribution” </w:t>
      </w:r>
    </w:p>
    <w:p>
      <w:pPr>
        <w:pStyle w:val="ListContents"/>
        <w:spacing w:before="0" w:after="283"/>
        <w:rPr/>
      </w:pPr>
      <w:r>
        <w:rPr/>
        <w:t>means Covered Software of a particular Contributor.</w:t>
      </w:r>
    </w:p>
    <w:p>
      <w:pPr>
        <w:pStyle w:val="ListHeading"/>
        <w:spacing w:before="0" w:after="283"/>
        <w:rPr/>
      </w:pPr>
      <w:r>
        <w:rPr/>
        <w:t xml:space="preserve">1.4. “Covered Software” </w:t>
      </w:r>
    </w:p>
    <w:p>
      <w:pPr>
        <w:pStyle w:val="ListContents"/>
        <w:spacing w:before="0" w:after="283"/>
        <w:rPr/>
      </w:pPr>
      <w:r>
        <w:rPr/>
        <w:t>means Source Code Form to which the initial Contributor has attached the notice in Exhibit A, the Executable Form of such Source Code Form, and Modifications of such Source Code Form, in each case including portions thereof.</w:t>
      </w:r>
    </w:p>
    <w:p>
      <w:pPr>
        <w:pStyle w:val="ListHeading"/>
        <w:spacing w:before="0" w:after="283"/>
        <w:rPr/>
      </w:pPr>
      <w:r>
        <w:rPr/>
        <w:t xml:space="preserve">1.5. “Incompatible With Secondary Licenses” </w:t>
      </w:r>
    </w:p>
    <w:p>
      <w:pPr>
        <w:pStyle w:val="ListContents"/>
        <w:spacing w:before="0" w:after="283"/>
        <w:rPr/>
      </w:pPr>
      <w:r>
        <w:rPr/>
        <w:t>means</w:t>
      </w:r>
    </w:p>
    <w:p>
      <w:pPr>
        <w:pStyle w:val="ListContents"/>
        <w:numPr>
          <w:ilvl w:val="0"/>
          <w:numId w:val="1"/>
        </w:numPr>
        <w:tabs>
          <w:tab w:val="clear" w:pos="709"/>
          <w:tab w:val="left" w:pos="0" w:leader="none"/>
        </w:tabs>
        <w:spacing w:before="0" w:after="283"/>
        <w:ind w:left="1274" w:hanging="283"/>
        <w:rPr/>
      </w:pPr>
      <w:r>
        <w:rPr/>
        <w:t>that the initial Contributor has attached the notice described in Exhibit B to the Covered Software; or</w:t>
      </w:r>
    </w:p>
    <w:p>
      <w:pPr>
        <w:pStyle w:val="ListContents"/>
        <w:numPr>
          <w:ilvl w:val="0"/>
          <w:numId w:val="1"/>
        </w:numPr>
        <w:tabs>
          <w:tab w:val="clear" w:pos="709"/>
          <w:tab w:val="left" w:pos="0" w:leader="none"/>
        </w:tabs>
        <w:spacing w:before="0" w:after="283"/>
        <w:ind w:left="1274" w:hanging="283"/>
        <w:rPr/>
      </w:pPr>
      <w:r>
        <w:rPr/>
        <w:t>that the Covered Software was made available under the terms of version 1.1 or earlier of the License, but not also under the terms of a Secondary License.</w:t>
      </w:r>
    </w:p>
    <w:p>
      <w:pPr>
        <w:pStyle w:val="ListHeading"/>
        <w:spacing w:before="0" w:after="283"/>
        <w:rPr/>
      </w:pPr>
      <w:r>
        <w:rPr/>
        <w:t xml:space="preserve">1.6. “Executable Form” </w:t>
      </w:r>
    </w:p>
    <w:p>
      <w:pPr>
        <w:pStyle w:val="ListContents"/>
        <w:spacing w:before="0" w:after="283"/>
        <w:rPr/>
      </w:pPr>
      <w:r>
        <w:rPr/>
        <w:t>means any form of the work other than Source Code Form.</w:t>
      </w:r>
    </w:p>
    <w:p>
      <w:pPr>
        <w:pStyle w:val="ListHeading"/>
        <w:spacing w:before="0" w:after="283"/>
        <w:rPr/>
      </w:pPr>
      <w:r>
        <w:rPr/>
        <w:t xml:space="preserve">1.7. “Larger Work” </w:t>
      </w:r>
    </w:p>
    <w:p>
      <w:pPr>
        <w:pStyle w:val="ListContents"/>
        <w:spacing w:before="0" w:after="283"/>
        <w:rPr/>
      </w:pPr>
      <w:r>
        <w:rPr/>
        <w:t>means a work that combines Covered Software with other material, in a separate file or files, that is not Covered Software.</w:t>
      </w:r>
    </w:p>
    <w:p>
      <w:pPr>
        <w:pStyle w:val="ListHeading"/>
        <w:spacing w:before="0" w:after="283"/>
        <w:rPr/>
      </w:pPr>
      <w:r>
        <w:rPr/>
        <w:t xml:space="preserve">1.8. “License” </w:t>
      </w:r>
    </w:p>
    <w:p>
      <w:pPr>
        <w:pStyle w:val="ListContents"/>
        <w:spacing w:before="0" w:after="283"/>
        <w:rPr/>
      </w:pPr>
      <w:r>
        <w:rPr/>
        <w:t>means this document.</w:t>
      </w:r>
    </w:p>
    <w:p>
      <w:pPr>
        <w:pStyle w:val="ListHeading"/>
        <w:spacing w:before="0" w:after="283"/>
        <w:rPr/>
      </w:pPr>
      <w:r>
        <w:rPr/>
        <w:t xml:space="preserve">1.9. “Licensable” </w:t>
      </w:r>
    </w:p>
    <w:p>
      <w:pPr>
        <w:pStyle w:val="ListContents"/>
        <w:spacing w:before="0" w:after="283"/>
        <w:rPr/>
      </w:pPr>
      <w:r>
        <w:rPr/>
        <w:t>means having the right to grant, to the maximum extent possible, whether at the time of the initial grant or subsequently, any and all of the rights conveyed by this License.</w:t>
      </w:r>
    </w:p>
    <w:p>
      <w:pPr>
        <w:pStyle w:val="ListHeading"/>
        <w:spacing w:before="0" w:after="283"/>
        <w:rPr/>
      </w:pPr>
      <w:r>
        <w:rPr/>
        <w:t xml:space="preserve">1.10. “Modifications” </w:t>
      </w:r>
    </w:p>
    <w:p>
      <w:pPr>
        <w:pStyle w:val="ListContents"/>
        <w:spacing w:before="0" w:after="283"/>
        <w:rPr/>
      </w:pPr>
      <w:r>
        <w:rPr/>
        <w:t>means any of the following:</w:t>
      </w:r>
    </w:p>
    <w:p>
      <w:pPr>
        <w:pStyle w:val="ListContents"/>
        <w:numPr>
          <w:ilvl w:val="0"/>
          <w:numId w:val="2"/>
        </w:numPr>
        <w:tabs>
          <w:tab w:val="clear" w:pos="709"/>
          <w:tab w:val="left" w:pos="0" w:leader="none"/>
        </w:tabs>
        <w:spacing w:before="0" w:after="283"/>
        <w:ind w:left="1274" w:hanging="283"/>
        <w:rPr/>
      </w:pPr>
      <w:r>
        <w:rPr/>
        <w:t>any file in Source Code Form that results from an addition to, deletion from, or modification of the contents of Covered Software; or</w:t>
      </w:r>
    </w:p>
    <w:p>
      <w:pPr>
        <w:pStyle w:val="ListContents"/>
        <w:numPr>
          <w:ilvl w:val="0"/>
          <w:numId w:val="2"/>
        </w:numPr>
        <w:tabs>
          <w:tab w:val="clear" w:pos="709"/>
          <w:tab w:val="left" w:pos="0" w:leader="none"/>
        </w:tabs>
        <w:spacing w:before="0" w:after="283"/>
        <w:ind w:left="1274" w:hanging="283"/>
        <w:rPr/>
      </w:pPr>
      <w:r>
        <w:rPr/>
        <w:t>any new file in Source Code Form that contains any Covered Software.</w:t>
      </w:r>
    </w:p>
    <w:p>
      <w:pPr>
        <w:pStyle w:val="ListHeading"/>
        <w:spacing w:before="0" w:after="283"/>
        <w:rPr/>
      </w:pPr>
      <w:r>
        <w:rPr/>
        <w:t xml:space="preserve">1.11. “Patent Claims” of a Contributor </w:t>
      </w:r>
    </w:p>
    <w:p>
      <w:pPr>
        <w:pStyle w:val="ListContents"/>
        <w:spacing w:before="0" w:after="283"/>
        <w:rPr/>
      </w:pPr>
      <w:r>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pPr>
        <w:pStyle w:val="ListHeading"/>
        <w:spacing w:before="0" w:after="283"/>
        <w:rPr/>
      </w:pPr>
      <w:r>
        <w:rPr/>
        <w:t xml:space="preserve">1.12. “Secondary License” </w:t>
      </w:r>
    </w:p>
    <w:p>
      <w:pPr>
        <w:pStyle w:val="ListContents"/>
        <w:spacing w:before="0" w:after="283"/>
        <w:rPr/>
      </w:pPr>
      <w:r>
        <w:rPr/>
        <w:t>means either the GNU General Public License, Version 2.0, the GNU Lesser General Public License, Version 2.1, the GNU Affero General Public License, Version 3.0, or any later versions of those licenses.</w:t>
      </w:r>
    </w:p>
    <w:p>
      <w:pPr>
        <w:pStyle w:val="ListHeading"/>
        <w:spacing w:before="0" w:after="283"/>
        <w:rPr/>
      </w:pPr>
      <w:r>
        <w:rPr/>
        <w:t xml:space="preserve">1.13. “Source Code Form” </w:t>
      </w:r>
    </w:p>
    <w:p>
      <w:pPr>
        <w:pStyle w:val="ListContents"/>
        <w:spacing w:before="0" w:after="283"/>
        <w:rPr/>
      </w:pPr>
      <w:r>
        <w:rPr/>
        <w:t>means the form of the work preferred for making modifications.</w:t>
      </w:r>
    </w:p>
    <w:p>
      <w:pPr>
        <w:pStyle w:val="ListHeading"/>
        <w:spacing w:before="0" w:after="283"/>
        <w:rPr/>
      </w:pPr>
      <w:r>
        <w:rPr/>
        <w:t xml:space="preserve">1.14. “You” (or “Your”) </w:t>
      </w:r>
    </w:p>
    <w:p>
      <w:pPr>
        <w:pStyle w:val="ListContents"/>
        <w:spacing w:before="0" w:after="283"/>
        <w:rPr/>
      </w:pPr>
      <w:r>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pPr>
        <w:pStyle w:val="Heading2"/>
        <w:rPr/>
      </w:pPr>
      <w:bookmarkStart w:id="2" w:name="license-grants-and-conditions"/>
      <w:bookmarkEnd w:id="2"/>
      <w:r>
        <w:rPr/>
        <w:t>2. License Grants and Conditions</w:t>
      </w:r>
    </w:p>
    <w:p>
      <w:pPr>
        <w:pStyle w:val="Heading3"/>
        <w:rPr/>
      </w:pPr>
      <w:bookmarkStart w:id="3" w:name="grants"/>
      <w:bookmarkEnd w:id="3"/>
      <w:r>
        <w:rPr/>
        <w:t>2.1. Grants</w:t>
      </w:r>
    </w:p>
    <w:p>
      <w:pPr>
        <w:pStyle w:val="TextBody"/>
        <w:rPr/>
      </w:pPr>
      <w:r>
        <w:rPr/>
        <w:t>Each Contributor hereby grants You a world-wide, royalty-free, non-exclusive license:</w:t>
      </w:r>
    </w:p>
    <w:p>
      <w:pPr>
        <w:pStyle w:val="TextBody"/>
        <w:numPr>
          <w:ilvl w:val="0"/>
          <w:numId w:val="3"/>
        </w:numPr>
        <w:tabs>
          <w:tab w:val="clear" w:pos="709"/>
          <w:tab w:val="left" w:pos="0" w:leader="none"/>
        </w:tabs>
        <w:ind w:left="707" w:hanging="283"/>
        <w:rPr/>
      </w:pPr>
      <w:r>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pPr>
        <w:pStyle w:val="TextBody"/>
        <w:numPr>
          <w:ilvl w:val="0"/>
          <w:numId w:val="3"/>
        </w:numPr>
        <w:tabs>
          <w:tab w:val="clear" w:pos="709"/>
          <w:tab w:val="left" w:pos="0" w:leader="none"/>
        </w:tabs>
        <w:ind w:left="707" w:hanging="283"/>
        <w:rPr/>
      </w:pPr>
      <w:r>
        <w:rPr/>
        <w:t>under Patent Claims of such Contributor to make, use, sell, offer for sale, have made, import, and otherwise transfer either its Contributions or its Contributor Version.</w:t>
      </w:r>
    </w:p>
    <w:p>
      <w:pPr>
        <w:pStyle w:val="Heading3"/>
        <w:rPr/>
      </w:pPr>
      <w:bookmarkStart w:id="4" w:name="effective-date"/>
      <w:bookmarkEnd w:id="4"/>
      <w:r>
        <w:rPr/>
        <w:t>2.2. Effective Date</w:t>
      </w:r>
    </w:p>
    <w:p>
      <w:pPr>
        <w:pStyle w:val="TextBody"/>
        <w:rPr/>
      </w:pPr>
      <w:r>
        <w:rPr/>
        <w:t>The licenses granted in Section 2.1 with respect to any Contribution become effective for each Contribution on the date the Contributor first distributes such Contribution.</w:t>
      </w:r>
    </w:p>
    <w:p>
      <w:pPr>
        <w:pStyle w:val="Heading3"/>
        <w:rPr/>
      </w:pPr>
      <w:bookmarkStart w:id="5" w:name="limitations-on-grant-scope"/>
      <w:bookmarkEnd w:id="5"/>
      <w:r>
        <w:rPr/>
        <w:t>2.3. Limitations on Grant Scope</w:t>
      </w:r>
    </w:p>
    <w:p>
      <w:pPr>
        <w:pStyle w:val="TextBody"/>
        <w:rPr/>
      </w:pPr>
      <w:r>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pPr>
        <w:pStyle w:val="TextBody"/>
        <w:numPr>
          <w:ilvl w:val="0"/>
          <w:numId w:val="4"/>
        </w:numPr>
        <w:tabs>
          <w:tab w:val="clear" w:pos="709"/>
          <w:tab w:val="left" w:pos="0" w:leader="none"/>
        </w:tabs>
        <w:ind w:left="707" w:hanging="283"/>
        <w:rPr/>
      </w:pPr>
      <w:r>
        <w:rPr/>
        <w:t>for any code that a Contributor has removed from Covered Software; or</w:t>
      </w:r>
    </w:p>
    <w:p>
      <w:pPr>
        <w:pStyle w:val="TextBody"/>
        <w:numPr>
          <w:ilvl w:val="0"/>
          <w:numId w:val="4"/>
        </w:numPr>
        <w:tabs>
          <w:tab w:val="clear" w:pos="709"/>
          <w:tab w:val="left" w:pos="0" w:leader="none"/>
        </w:tabs>
        <w:ind w:left="707" w:hanging="283"/>
        <w:rPr/>
      </w:pPr>
      <w:r>
        <w:rPr/>
        <w:t>for infringements caused by: (i) Your and any other third party’s modifications of Covered Software, or (ii) the combination of its Contributions with other software (except as part of its Contributor Version); or</w:t>
      </w:r>
    </w:p>
    <w:p>
      <w:pPr>
        <w:pStyle w:val="TextBody"/>
        <w:numPr>
          <w:ilvl w:val="0"/>
          <w:numId w:val="4"/>
        </w:numPr>
        <w:tabs>
          <w:tab w:val="clear" w:pos="709"/>
          <w:tab w:val="left" w:pos="0" w:leader="none"/>
        </w:tabs>
        <w:ind w:left="707" w:hanging="283"/>
        <w:rPr/>
      </w:pPr>
      <w:r>
        <w:rPr/>
        <w:t>under Patent Claims infringed by Covered Software in the absence of its Contributions.</w:t>
      </w:r>
    </w:p>
    <w:p>
      <w:pPr>
        <w:pStyle w:val="TextBody"/>
        <w:rPr/>
      </w:pPr>
      <w:r>
        <w:rPr/>
        <w:t>This License does not grant any rights in the trademarks, service marks, or logos of any Contributor (except as may be necessary to comply with the notice requirements in Section 3.4).</w:t>
      </w:r>
    </w:p>
    <w:p>
      <w:pPr>
        <w:pStyle w:val="Heading3"/>
        <w:rPr/>
      </w:pPr>
      <w:bookmarkStart w:id="6" w:name="subsequent-licenses"/>
      <w:bookmarkEnd w:id="6"/>
      <w:r>
        <w:rPr/>
        <w:t>2.4. Subsequent Licenses</w:t>
      </w:r>
    </w:p>
    <w:p>
      <w:pPr>
        <w:pStyle w:val="TextBody"/>
        <w:rPr/>
      </w:pPr>
      <w:r>
        <w:rPr/>
        <w:t>No Contributor makes additional grants as a result of Your choice to distribute the Covered Software under a subsequent version of this License (see Section 10.2) or under the terms of a Secondary License (if permitted under the terms of Section 3.3).</w:t>
      </w:r>
    </w:p>
    <w:p>
      <w:pPr>
        <w:pStyle w:val="Heading3"/>
        <w:rPr/>
      </w:pPr>
      <w:bookmarkStart w:id="7" w:name="representation"/>
      <w:bookmarkEnd w:id="7"/>
      <w:r>
        <w:rPr/>
        <w:t>2.5. Representation</w:t>
      </w:r>
    </w:p>
    <w:p>
      <w:pPr>
        <w:pStyle w:val="TextBody"/>
        <w:rPr/>
      </w:pPr>
      <w:r>
        <w:rPr/>
        <w:t>Each Contributor represents that the Contributor believes its Contributions are its original creation(s) or it has sufficient rights to grant the rights to its Contributions conveyed by this License.</w:t>
      </w:r>
    </w:p>
    <w:p>
      <w:pPr>
        <w:pStyle w:val="Heading3"/>
        <w:rPr/>
      </w:pPr>
      <w:bookmarkStart w:id="8" w:name="fair-use"/>
      <w:bookmarkEnd w:id="8"/>
      <w:r>
        <w:rPr/>
        <w:t>2.6. Fair Use</w:t>
      </w:r>
    </w:p>
    <w:p>
      <w:pPr>
        <w:pStyle w:val="TextBody"/>
        <w:rPr/>
      </w:pPr>
      <w:r>
        <w:rPr/>
        <w:t>This License is not intended to limit any rights You have under applicable copyright doctrines of fair use, fair dealing, or other equivalents.</w:t>
      </w:r>
    </w:p>
    <w:p>
      <w:pPr>
        <w:pStyle w:val="Heading3"/>
        <w:rPr/>
      </w:pPr>
      <w:bookmarkStart w:id="9" w:name="conditions"/>
      <w:bookmarkEnd w:id="9"/>
      <w:r>
        <w:rPr/>
        <w:t>2.7. Conditions</w:t>
      </w:r>
    </w:p>
    <w:p>
      <w:pPr>
        <w:pStyle w:val="TextBody"/>
        <w:rPr/>
      </w:pPr>
      <w:r>
        <w:rPr/>
        <w:t>Sections 3.1, 3.2, 3.3, and 3.4 are conditions of the licenses granted in Section 2.1.</w:t>
      </w:r>
    </w:p>
    <w:p>
      <w:pPr>
        <w:pStyle w:val="Heading2"/>
        <w:rPr/>
      </w:pPr>
      <w:bookmarkStart w:id="10" w:name="responsibilities"/>
      <w:bookmarkEnd w:id="10"/>
      <w:r>
        <w:rPr/>
        <w:t>3. Responsibilities</w:t>
      </w:r>
    </w:p>
    <w:p>
      <w:pPr>
        <w:pStyle w:val="Heading3"/>
        <w:rPr/>
      </w:pPr>
      <w:bookmarkStart w:id="11" w:name="distribution-of-source-form"/>
      <w:bookmarkEnd w:id="11"/>
      <w:r>
        <w:rPr/>
        <w:t>3.1. Distribution of Source Form</w:t>
      </w:r>
    </w:p>
    <w:p>
      <w:pPr>
        <w:pStyle w:val="TextBody"/>
        <w:rPr/>
      </w:pPr>
      <w:r>
        <w:rPr/>
        <w:t>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pPr>
        <w:pStyle w:val="Heading3"/>
        <w:rPr/>
      </w:pPr>
      <w:bookmarkStart w:id="12" w:name="distribution-of-executable-form"/>
      <w:bookmarkEnd w:id="12"/>
      <w:r>
        <w:rPr/>
        <w:t>3.2. Distribution of Executable Form</w:t>
      </w:r>
    </w:p>
    <w:p>
      <w:pPr>
        <w:pStyle w:val="TextBody"/>
        <w:rPr/>
      </w:pPr>
      <w:r>
        <w:rPr/>
        <w:t>If You distribute Covered Software in Executable Form then:</w:t>
      </w:r>
    </w:p>
    <w:p>
      <w:pPr>
        <w:pStyle w:val="TextBody"/>
        <w:numPr>
          <w:ilvl w:val="0"/>
          <w:numId w:val="5"/>
        </w:numPr>
        <w:tabs>
          <w:tab w:val="clear" w:pos="709"/>
          <w:tab w:val="left" w:pos="0" w:leader="none"/>
        </w:tabs>
        <w:ind w:left="707" w:hanging="283"/>
        <w:rPr/>
      </w:pPr>
      <w:r>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pPr>
        <w:pStyle w:val="TextBody"/>
        <w:numPr>
          <w:ilvl w:val="0"/>
          <w:numId w:val="5"/>
        </w:numPr>
        <w:tabs>
          <w:tab w:val="clear" w:pos="709"/>
          <w:tab w:val="left" w:pos="0" w:leader="none"/>
        </w:tabs>
        <w:ind w:left="707" w:hanging="283"/>
        <w:rPr/>
      </w:pPr>
      <w:r>
        <w:rPr/>
        <w:t>You may distribute such Executable Form under the terms of this License, or sublicense it under different terms, provided that the license for the Executable Form does not attempt to limit or alter the recipients’ rights in the Source Code Form under this License.</w:t>
      </w:r>
    </w:p>
    <w:p>
      <w:pPr>
        <w:pStyle w:val="Heading3"/>
        <w:rPr/>
      </w:pPr>
      <w:bookmarkStart w:id="13" w:name="distribution-of-a-larger-work"/>
      <w:bookmarkEnd w:id="13"/>
      <w:r>
        <w:rPr/>
        <w:t>3.3. Distribution of a Larger Work</w:t>
      </w:r>
    </w:p>
    <w:p>
      <w:pPr>
        <w:pStyle w:val="TextBody"/>
        <w:rPr/>
      </w:pPr>
      <w:r>
        <w:rPr/>
        <w:t>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pPr>
        <w:pStyle w:val="Heading3"/>
        <w:rPr/>
      </w:pPr>
      <w:bookmarkStart w:id="14" w:name="notices"/>
      <w:bookmarkEnd w:id="14"/>
      <w:r>
        <w:rPr/>
        <w:t>3.4. Notices</w:t>
      </w:r>
    </w:p>
    <w:p>
      <w:pPr>
        <w:pStyle w:val="TextBody"/>
        <w:rPr/>
      </w:pPr>
      <w:r>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pPr>
        <w:pStyle w:val="Heading3"/>
        <w:rPr/>
      </w:pPr>
      <w:bookmarkStart w:id="15" w:name="application-of-additional-terms"/>
      <w:bookmarkEnd w:id="15"/>
      <w:r>
        <w:rPr/>
        <w:t>3.5. Application of Additional Terms</w:t>
      </w:r>
    </w:p>
    <w:p>
      <w:pPr>
        <w:pStyle w:val="TextBody"/>
        <w:rPr/>
      </w:pPr>
      <w:r>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pPr>
        <w:pStyle w:val="Heading2"/>
        <w:rPr/>
      </w:pPr>
      <w:bookmarkStart w:id="16" w:name="inability-to-comply-due-to-statute-or-re"/>
      <w:bookmarkEnd w:id="16"/>
      <w:r>
        <w:rPr/>
        <w:t>4. Inability to Comply Due to Statute or Regulation</w:t>
      </w:r>
    </w:p>
    <w:p>
      <w:pPr>
        <w:pStyle w:val="TextBody"/>
        <w:rPr/>
      </w:pPr>
      <w:r>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pPr>
        <w:pStyle w:val="Heading2"/>
        <w:rPr/>
      </w:pPr>
      <w:bookmarkStart w:id="17" w:name="termination"/>
      <w:bookmarkEnd w:id="17"/>
      <w:r>
        <w:rPr/>
        <w:t>5. Termination</w:t>
      </w:r>
    </w:p>
    <w:p>
      <w:pPr>
        <w:pStyle w:val="TextBody"/>
        <w:rPr/>
      </w:pPr>
      <w:r>
        <w:rPr/>
        <w:t>5.1.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pPr>
        <w:pStyle w:val="TextBody"/>
        <w:rPr/>
      </w:pPr>
      <w:r>
        <w:rPr/>
        <w:t>5.2.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pPr>
        <w:pStyle w:val="TextBody"/>
        <w:rPr/>
      </w:pPr>
      <w:r>
        <w:rPr/>
        <w:t>5.3. In the event of termination under Sections 5.1 or 5.2 above, all end user license agreements (excluding distributors and resellers) which have been validly granted by You or Your distributors under this License prior to termination shall survive termination.</w:t>
      </w:r>
    </w:p>
    <w:p>
      <w:pPr>
        <w:pStyle w:val="Heading2"/>
        <w:rPr/>
      </w:pPr>
      <w:bookmarkStart w:id="18" w:name="disclaimer-of-warranty"/>
      <w:bookmarkEnd w:id="18"/>
      <w:r>
        <w:rPr/>
        <w:t>6. Disclaimer of Warranty</w:t>
      </w:r>
    </w:p>
    <w:p>
      <w:pPr>
        <w:pStyle w:val="TextBody"/>
        <w:rPr/>
      </w:pPr>
      <w:r>
        <w:rPr>
          <w:rStyle w:val="Emphasis"/>
        </w:rPr>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pPr>
        <w:pStyle w:val="Heading2"/>
        <w:rPr/>
      </w:pPr>
      <w:bookmarkStart w:id="19" w:name="limitation-of-liability"/>
      <w:bookmarkEnd w:id="19"/>
      <w:r>
        <w:rPr/>
        <w:t>7. Limitation of Liability</w:t>
      </w:r>
    </w:p>
    <w:p>
      <w:pPr>
        <w:pStyle w:val="TextBody"/>
        <w:rPr/>
      </w:pPr>
      <w:r>
        <w:rPr>
          <w:rStyle w:val="Emphasis"/>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pPr>
        <w:pStyle w:val="Heading2"/>
        <w:rPr/>
      </w:pPr>
      <w:bookmarkStart w:id="20" w:name="litigation"/>
      <w:bookmarkEnd w:id="20"/>
      <w:r>
        <w:rPr/>
        <w:t>8. Litigation</w:t>
      </w:r>
    </w:p>
    <w:p>
      <w:pPr>
        <w:pStyle w:val="TextBody"/>
        <w:rPr/>
      </w:pPr>
      <w:r>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pPr>
        <w:pStyle w:val="Heading2"/>
        <w:rPr/>
      </w:pPr>
      <w:bookmarkStart w:id="21" w:name="miscellaneous"/>
      <w:bookmarkEnd w:id="21"/>
      <w:r>
        <w:rPr/>
        <w:t>9. Miscellaneous</w:t>
      </w:r>
    </w:p>
    <w:p>
      <w:pPr>
        <w:pStyle w:val="TextBody"/>
        <w:rPr/>
      </w:pPr>
      <w:r>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pPr>
        <w:pStyle w:val="Heading2"/>
        <w:rPr/>
      </w:pPr>
      <w:bookmarkStart w:id="22" w:name="versions-of-the-license"/>
      <w:bookmarkEnd w:id="22"/>
      <w:r>
        <w:rPr/>
        <w:t>10. Versions of the License</w:t>
      </w:r>
    </w:p>
    <w:p>
      <w:pPr>
        <w:pStyle w:val="Heading3"/>
        <w:rPr/>
      </w:pPr>
      <w:bookmarkStart w:id="23" w:name="new-versions"/>
      <w:bookmarkEnd w:id="23"/>
      <w:r>
        <w:rPr/>
        <w:t>10.1. New Versions</w:t>
      </w:r>
    </w:p>
    <w:p>
      <w:pPr>
        <w:pStyle w:val="TextBody"/>
        <w:rPr/>
      </w:pPr>
      <w:r>
        <w:rPr/>
        <w:t>Mozilla Foundation is the license steward. Except as provided in Section 10.3, no one other than the license steward has the right to modify or publish new versions of this License. Each version will be given a distinguishing version number.</w:t>
      </w:r>
    </w:p>
    <w:p>
      <w:pPr>
        <w:pStyle w:val="Heading3"/>
        <w:rPr/>
      </w:pPr>
      <w:bookmarkStart w:id="24" w:name="effect-of-new-versions"/>
      <w:bookmarkEnd w:id="24"/>
      <w:r>
        <w:rPr/>
        <w:t>10.2. Effect of New Versions</w:t>
      </w:r>
    </w:p>
    <w:p>
      <w:pPr>
        <w:pStyle w:val="TextBody"/>
        <w:rPr/>
      </w:pPr>
      <w:r>
        <w:rPr/>
        <w:t>You may distribute the Covered Software under the terms of the version of the License under which You originally received the Covered Software, or under the terms of any subsequent version published by the license steward.</w:t>
      </w:r>
    </w:p>
    <w:p>
      <w:pPr>
        <w:pStyle w:val="Heading3"/>
        <w:rPr/>
      </w:pPr>
      <w:bookmarkStart w:id="25" w:name="modified-versions"/>
      <w:bookmarkEnd w:id="25"/>
      <w:r>
        <w:rPr/>
        <w:t>10.3. Modified Versions</w:t>
      </w:r>
    </w:p>
    <w:p>
      <w:pPr>
        <w:pStyle w:val="TextBody"/>
        <w:rPr/>
      </w:pPr>
      <w:r>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pPr>
        <w:pStyle w:val="Heading3"/>
        <w:rPr/>
      </w:pPr>
      <w:bookmarkStart w:id="26" w:name="distributing-source-code-form-that-is-in"/>
      <w:bookmarkEnd w:id="26"/>
      <w:r>
        <w:rPr/>
        <w:t>10.4. Distributing Source Code Form that is Incompatible With Secondary Licenses</w:t>
      </w:r>
    </w:p>
    <w:p>
      <w:pPr>
        <w:pStyle w:val="TextBody"/>
        <w:rPr/>
      </w:pPr>
      <w:r>
        <w:rPr/>
        <w:t>If You choose to distribute Source Code Form that is Incompatible With Secondary Licenses under the terms of this version of the License, the notice described in Exhibit B of this License must be attached.</w:t>
      </w:r>
    </w:p>
    <w:p>
      <w:pPr>
        <w:pStyle w:val="Heading2"/>
        <w:rPr/>
      </w:pPr>
      <w:bookmarkStart w:id="27" w:name="exhibit-a---source-code-form-license-not"/>
      <w:bookmarkEnd w:id="27"/>
      <w:r>
        <w:rPr/>
        <w:t>Exhibit A - Source Code Form License Notice</w:t>
      </w:r>
    </w:p>
    <w:p>
      <w:pPr>
        <w:pStyle w:val="Quotations"/>
        <w:rPr/>
      </w:pPr>
      <w:r>
        <w:rPr/>
        <w:t>This Source Code Form is subject to the terms of the Mozilla Public License, v. 2.0. If a copy of the MPL was not distributed with this file, You can obtain one at https://mozilla.org/MPL/2.0/.</w:t>
      </w:r>
    </w:p>
    <w:p>
      <w:pPr>
        <w:pStyle w:val="TextBody"/>
        <w:rPr/>
      </w:pPr>
      <w:r>
        <w:rPr/>
        <w:t>If it is not possible or desirable to put the notice in a particular file, then You may include the notice in a location (such as a LICENSE file in a relevant directory) where a recipient would be likely to look for such a notice.</w:t>
      </w:r>
    </w:p>
    <w:p>
      <w:pPr>
        <w:pStyle w:val="TextBody"/>
        <w:rPr/>
      </w:pPr>
      <w:r>
        <w:rPr/>
        <w:t>You may add additional accurate notices of copyright ownership.</w:t>
      </w:r>
    </w:p>
    <w:p>
      <w:pPr>
        <w:pStyle w:val="Heading2"/>
        <w:rPr/>
      </w:pPr>
      <w:bookmarkStart w:id="28" w:name="exhibit-b---incompatible-with-secondary-"/>
      <w:bookmarkEnd w:id="28"/>
      <w:r>
        <w:rPr/>
        <w:t>Exhibit B - “Incompatible With Secondary Licenses” Notice</w:t>
      </w:r>
    </w:p>
    <w:p>
      <w:pPr>
        <w:pStyle w:val="Quotations"/>
        <w:spacing w:before="0" w:after="283"/>
        <w:ind w:left="567" w:right="567" w:hanging="0"/>
        <w:rPr/>
      </w:pPr>
      <w:r>
        <w:rPr/>
        <w:t>This Source Code Form is “Incompatible With Secondary Licenses”, as defined by the Mozilla Public License, v. 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07"/>
        </w:tabs>
        <w:ind w:left="707" w:hanging="283"/>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2">
    <w:lvl w:ilvl="0">
      <w:start w:val="1"/>
      <w:numFmt w:val="lowerLetter"/>
      <w:lvlText w:val="%1."/>
      <w:lvlJc w:val="left"/>
      <w:pPr>
        <w:tabs>
          <w:tab w:val="num" w:pos="707"/>
        </w:tabs>
        <w:ind w:left="707" w:hanging="283"/>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3">
    <w:lvl w:ilvl="0">
      <w:start w:val="1"/>
      <w:numFmt w:val="lowerLetter"/>
      <w:lvlText w:val="%1."/>
      <w:lvlJc w:val="left"/>
      <w:pPr>
        <w:tabs>
          <w:tab w:val="num" w:pos="707"/>
        </w:tabs>
        <w:ind w:left="707" w:hanging="283"/>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4">
    <w:lvl w:ilvl="0">
      <w:start w:val="1"/>
      <w:numFmt w:val="lowerLetter"/>
      <w:lvlText w:val="%1."/>
      <w:lvlJc w:val="left"/>
      <w:pPr>
        <w:tabs>
          <w:tab w:val="num" w:pos="707"/>
        </w:tabs>
        <w:ind w:left="707" w:hanging="283"/>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5">
    <w:lvl w:ilvl="0">
      <w:start w:val="1"/>
      <w:numFmt w:val="lowerLetter"/>
      <w:lvlText w:val="%1."/>
      <w:lvlJc w:val="left"/>
      <w:pPr>
        <w:tabs>
          <w:tab w:val="num" w:pos="707"/>
        </w:tabs>
        <w:ind w:left="707" w:hanging="283"/>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6">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7</Pages>
  <Words>2346</Words>
  <Characters>12390</Characters>
  <CharactersWithSpaces>14642</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2020-04-06T16:12:23Z</dcterms:created>
  <dc:creator/>
  <dc:description/>
  <dc:language>en-US</dc:language>
  <cp:lastModifiedBy/>
  <dcterms:modified xsi:type="dcterms:W3CDTF">2020-04-06T16:13:08Z</dcterms:modified>
  <cp:revision>1</cp:revision>
  <dc:subject/>
  <dc:title/>
</cp:coreProperties>
</file>