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Lab 3.3 - Let Me Check My Calendar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 this lab, you will write some custom blocks that take arguments and are useful for calculations involving dates and calendars.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1 - Basics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Write a custom SNAP block called "month name" that takes a number between 1 and 12 as an argument and says the name of the corresponding month.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Write a custom SNAP block called "day name" that takes a number between 1 and 7 as an argument and says the name of the corresponding day. For our purposes, the week begins on Sunday.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Write a custom SNAP block called "days in " that takes a month name as an argument and says how many days are in that month. Assume a non-leap year.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2 - Going Farther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Write a custom SNAP block called "is a leap year" that takes a year number as an argument and says whether or not that year is a leap year.</w:t>
      </w:r>
    </w:p>
    <w:p w:rsidR="00000000" w:rsidDel="00000000" w:rsidP="00000000" w:rsidRDefault="00000000" w:rsidRPr="00000000">
      <w:pPr>
        <w:numPr>
          <w:ilvl w:val="1"/>
          <w:numId w:val="1"/>
        </w:numPr>
        <w:shd w:fill="ffffff" w:val="clear"/>
        <w:spacing w:after="280" w:before="40" w:lineRule="auto"/>
        <w:ind w:left="1440" w:hanging="360"/>
        <w:contextualSpacing w:val="0"/>
        <w:rPr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A year is a leap year if the year is a multiple of 4 that is not a multiple of 100 (e.g. 1984), or if it is a multiple of 400 (e.g. 2000). Years that are mutiples of 100 but not mutiples of 400 are NOT leap years (e.g. 1800). See </w:t>
      </w:r>
      <w:hyperlink r:id="rId5">
        <w:r w:rsidDel="00000000" w:rsidR="00000000" w:rsidRPr="00000000">
          <w:rPr>
            <w:rFonts w:ascii="Calibri" w:cs="Calibri" w:eastAsia="Calibri" w:hAnsi="Calibri"/>
            <w:color w:val="4183c4"/>
            <w:sz w:val="24"/>
            <w:szCs w:val="24"/>
            <w:u w:val="single"/>
            <w:rtl w:val="0"/>
          </w:rPr>
          <w:t xml:space="preserve">Wikipedia</w:t>
        </w:r>
      </w:hyperlink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 for more detail.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Write a custom SNAP block called "is a valid date" that takes a month name and a date as arguments and says whether or not that date exists in that month. For example, the 31st is a valid date in January, but not in June. The 5th is a valid date in every month, and the 40th is not a valid date in any month.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Write a custom SNAP block called "day in year" that takes a year number and a number between 1 and 366 and says the date that corresponds to that numbered day of the specified year. For example, in non-leap years day #1 is January 1, day #32 is February 1, day #365 is December 31, and day #185 is July 4. Give an error message if the number is 366 and a non-leap year is specified.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BONUS: Write a custom SNAP block called "day of week" that takes a month name, date, and year as arguments and says the day of week on which that date falls in that year. See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183c4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http://en.wikipedia.org/wiki/Determination_of_the_day_of_the_week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for information on finding the day of the week from a date.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Grading Scheme/Rubric</w:t>
      </w:r>
    </w:p>
    <w:tbl>
      <w:tblPr>
        <w:tblStyle w:val="Table1"/>
        <w:tblW w:w="8115.0" w:type="dxa"/>
        <w:jc w:val="left"/>
        <w:tblInd w:w="1185.0" w:type="dxa"/>
        <w:tblLayout w:type="fixed"/>
        <w:tblLook w:val="0400"/>
      </w:tblPr>
      <w:tblGrid>
        <w:gridCol w:w="6657"/>
        <w:gridCol w:w="1458"/>
        <w:tblGridChange w:id="0">
          <w:tblGrid>
            <w:gridCol w:w="6657"/>
            <w:gridCol w:w="1458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4292e"/>
                <w:highlight w:val="white"/>
                <w:rtl w:val="0"/>
              </w:rPr>
              <w:t xml:space="preserve">Lab 3.3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1.1 month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1.2 day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1.3 days 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 points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2.1 is leap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2.2 is a valid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2.3 day in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2.4 Bonus: day in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8f8f8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rtl w:val="0"/>
              </w:rPr>
              <w:t xml:space="preserve">PROJECT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8f8f8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color w:val="333333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rtl w:val="0"/>
              </w:rPr>
              <w:t xml:space="preserve">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0</wp:posOffset>
          </wp:positionH>
          <wp:positionV relativeFrom="paragraph">
            <wp:posOffset>132715</wp:posOffset>
          </wp:positionV>
          <wp:extent cx="965200" cy="339090"/>
          <wp:effectExtent b="0" l="0" r="0" t="0"/>
          <wp:wrapNone/>
          <wp:docPr descr="Kamchatka:Users:benwatsky:Desktop:cc license.png" id="1" name="image2.png"/>
          <a:graphic>
            <a:graphicData uri="http://schemas.openxmlformats.org/drawingml/2006/picture">
              <pic:pic>
                <pic:nvPicPr>
                  <pic:cNvPr descr="Kamchatka:Users:benwatsky:Desktop:cc license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5200" cy="3390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901700</wp:posOffset>
              </wp:positionH>
              <wp:positionV relativeFrom="paragraph">
                <wp:posOffset>76200</wp:posOffset>
              </wp:positionV>
              <wp:extent cx="3429000" cy="4572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31500" y="355140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This work is licensed under a Creative Commons Attribution-NonCommercial-ShareAlike 4.0 International License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 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901700</wp:posOffset>
              </wp:positionH>
              <wp:positionV relativeFrom="paragraph">
                <wp:posOffset>76200</wp:posOffset>
              </wp:positionV>
              <wp:extent cx="3429000" cy="4572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0" cy="457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Introduction to Computer Science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Leap_year#Algorithm" TargetMode="External"/><Relationship Id="rId6" Type="http://schemas.openxmlformats.org/officeDocument/2006/relationships/hyperlink" Target="http://en.wikipedia.org/wiki/Determination_of_the_day_of_the_wee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