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Pong Program Preparation Planning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ready to write our first game! Part of programming is breaking down a problem into smaller pieces that you can solve separately. You then combine these smaller pieces into larger components until you have the whole program put together.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Pong game, use this planning worksheet to help design your code BEFORE you start writing. Read 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requirements in the left column. Take a few minutes to think before filling out the rest of the worksheet. The first row is an example.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0.0" w:type="dxa"/>
        <w:jc w:val="left"/>
        <w:tblInd w:w="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2272"/>
        <w:gridCol w:w="2023"/>
        <w:gridCol w:w="1785"/>
        <w:gridCol w:w="2381"/>
        <w:gridCol w:w="2862"/>
        <w:gridCol w:w="3057"/>
        <w:tblGridChange w:id="0">
          <w:tblGrid>
            <w:gridCol w:w="2272"/>
            <w:gridCol w:w="2023"/>
            <w:gridCol w:w="1785"/>
            <w:gridCol w:w="2381"/>
            <w:gridCol w:w="2862"/>
            <w:gridCol w:w="3057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Game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What's going 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owns the logic?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triggers the change?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could be tricky?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eeeee" w:val="clear"/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Players can control paddles with required 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Paddle moves up or down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Paddle sprite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Press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up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or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down arrow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Press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or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keys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When paddle gets to the top or bottom it can't move anymore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Left paddle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variable: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ed7d31"/>
                <w:sz w:val="16"/>
                <w:szCs w:val="16"/>
                <w:rtl w:val="0"/>
              </w:rPr>
              <w:t xml:space="preserve">left speed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c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c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sprite is hitting top edge of canvas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 hitting bottom edge of canvas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6"/>
                <w:szCs w:val="16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540" w:hanging="301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reverse paddle movement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c000"/>
                <w:sz w:val="16"/>
                <w:szCs w:val="16"/>
                <w:rtl w:val="0"/>
              </w:rPr>
              <w:t xml:space="preserve">When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c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70c0"/>
                <w:sz w:val="16"/>
                <w:szCs w:val="16"/>
                <w:rtl w:val="0"/>
              </w:rPr>
              <w:t xml:space="preserve">up arrow is pressed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540"/>
              </w:tabs>
              <w:spacing w:after="0" w:line="240" w:lineRule="auto"/>
              <w:ind w:left="540" w:hanging="301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 paddle is moving down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080" w:hanging="571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stop paddle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540" w:hanging="301"/>
              <w:contextualSpacing w:val="0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080" w:hanging="571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7030a0"/>
                <w:sz w:val="16"/>
                <w:szCs w:val="16"/>
                <w:rtl w:val="0"/>
              </w:rPr>
              <w:t xml:space="preserve">change direction to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Ball begins play at middle of field at start of game and after each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Ball bounces correctly off upper and lower edges of paddles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Ball increases speed each time it bounces off a paddle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Score a point for the opponent when the ball touches the left or right 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Game ends when one player reaches five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Winning player is shown when the game 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Players can begin a new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Adapted from GHHS Intro CS 2016 </w:t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8016" cy="128016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" cy="1280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8016" cy="128016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" cy="1280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8016" cy="128016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" cy="1280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8016" cy="128016"/>
          <wp:effectExtent b="0" l="0" r="0" t="0"/>
          <wp:docPr id="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" cy="1280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right"/>
      <w:rPr>
        <w:color w:val="a6a6a6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5.png"/><Relationship Id="rId4" Type="http://schemas.openxmlformats.org/officeDocument/2006/relationships/image" Target="media/image8.png"/></Relationships>
</file>