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2410"/>
        <w:gridCol w:w="7372"/>
      </w:tblGrid>
      <w:tr w:rsidR="00781CEE" w:rsidRPr="00781CEE" w:rsidTr="00C80F51">
        <w:trPr>
          <w:trHeight w:val="300"/>
        </w:trPr>
        <w:tc>
          <w:tcPr>
            <w:tcW w:w="2410" w:type="dxa"/>
            <w:noWrap/>
            <w:hideMark/>
          </w:tcPr>
          <w:p w:rsidR="00781CEE" w:rsidRPr="00781CEE" w:rsidRDefault="00781CEE" w:rsidP="00FC31D7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b/>
                <w:bCs/>
                <w:lang w:eastAsia="en-PH"/>
              </w:rPr>
              <w:t>Term</w:t>
            </w:r>
          </w:p>
        </w:tc>
        <w:tc>
          <w:tcPr>
            <w:tcW w:w="7372" w:type="dxa"/>
            <w:noWrap/>
            <w:hideMark/>
          </w:tcPr>
          <w:p w:rsidR="00781CEE" w:rsidRPr="00781CEE" w:rsidRDefault="00781CEE" w:rsidP="00FC31D7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b/>
                <w:bCs/>
                <w:lang w:eastAsia="en-PH"/>
              </w:rPr>
              <w:t>Definition</w:t>
            </w:r>
          </w:p>
        </w:tc>
      </w:tr>
      <w:tr w:rsidR="00781CEE" w:rsidRPr="00781CEE" w:rsidTr="00C80F51">
        <w:trPr>
          <w:trHeight w:val="300"/>
        </w:trPr>
        <w:tc>
          <w:tcPr>
            <w:tcW w:w="2410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APC</w:t>
            </w:r>
          </w:p>
        </w:tc>
        <w:tc>
          <w:tcPr>
            <w:tcW w:w="7372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color w:val="000000"/>
                <w:lang w:eastAsia="en-PH"/>
              </w:rPr>
              <w:t>Asia Pacific College</w:t>
            </w:r>
          </w:p>
        </w:tc>
      </w:tr>
      <w:tr w:rsidR="00781CEE" w:rsidRPr="00781CEE" w:rsidTr="00C80F51">
        <w:trPr>
          <w:trHeight w:val="300"/>
        </w:trPr>
        <w:tc>
          <w:tcPr>
            <w:tcW w:w="2410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At-risk</w:t>
            </w:r>
          </w:p>
        </w:tc>
        <w:tc>
          <w:tcPr>
            <w:tcW w:w="7372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color w:val="000000"/>
                <w:lang w:eastAsia="en-PH"/>
              </w:rPr>
              <w:t>It is discretion of the faculty based on the running numbers/performance of the student</w:t>
            </w:r>
          </w:p>
        </w:tc>
      </w:tr>
      <w:tr w:rsidR="00781CEE" w:rsidRPr="00781CEE" w:rsidTr="00C80F51">
        <w:trPr>
          <w:trHeight w:val="300"/>
        </w:trPr>
        <w:tc>
          <w:tcPr>
            <w:tcW w:w="2410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Automate</w:t>
            </w:r>
          </w:p>
        </w:tc>
        <w:tc>
          <w:tcPr>
            <w:tcW w:w="7372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color w:val="000000"/>
                <w:lang w:eastAsia="en-PH"/>
              </w:rPr>
              <w:t>to decrease the human effort needed to perform a certain task and to make something operate automatically by using machines or computers</w:t>
            </w:r>
          </w:p>
        </w:tc>
      </w:tr>
      <w:tr w:rsidR="00781CEE" w:rsidRPr="00781CEE" w:rsidTr="00C80F51">
        <w:trPr>
          <w:trHeight w:val="300"/>
        </w:trPr>
        <w:tc>
          <w:tcPr>
            <w:tcW w:w="2410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Case </w:t>
            </w:r>
          </w:p>
        </w:tc>
        <w:tc>
          <w:tcPr>
            <w:tcW w:w="7372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color w:val="000000"/>
                <w:lang w:eastAsia="en-PH"/>
              </w:rPr>
              <w:t>An instance of a particular situation that is related to academic or curricular matters.</w:t>
            </w:r>
          </w:p>
        </w:tc>
      </w:tr>
      <w:tr w:rsidR="00781CEE" w:rsidRPr="00781CEE" w:rsidTr="00C80F51">
        <w:trPr>
          <w:trHeight w:val="300"/>
        </w:trPr>
        <w:tc>
          <w:tcPr>
            <w:tcW w:w="2410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Centralize</w:t>
            </w:r>
          </w:p>
        </w:tc>
        <w:tc>
          <w:tcPr>
            <w:tcW w:w="7372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color w:val="000000"/>
                <w:lang w:eastAsia="en-PH"/>
              </w:rPr>
              <w:t>Concentrate (control of an activity or organization) under a single authority.</w:t>
            </w:r>
          </w:p>
        </w:tc>
      </w:tr>
      <w:tr w:rsidR="00781CEE" w:rsidRPr="00781CEE" w:rsidTr="00C80F51">
        <w:trPr>
          <w:trHeight w:val="300"/>
        </w:trPr>
        <w:tc>
          <w:tcPr>
            <w:tcW w:w="2410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Consultation</w:t>
            </w:r>
          </w:p>
        </w:tc>
        <w:tc>
          <w:tcPr>
            <w:tcW w:w="7372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color w:val="000000"/>
                <w:lang w:eastAsia="en-PH"/>
              </w:rPr>
              <w:t>The action or process of formally discussing about grades, subjects, or anything about academic or curricular.</w:t>
            </w:r>
          </w:p>
        </w:tc>
      </w:tr>
      <w:tr w:rsidR="00781CEE" w:rsidRPr="00781CEE" w:rsidTr="00C80F51">
        <w:trPr>
          <w:trHeight w:val="300"/>
        </w:trPr>
        <w:tc>
          <w:tcPr>
            <w:tcW w:w="2410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DFD</w:t>
            </w:r>
          </w:p>
        </w:tc>
        <w:tc>
          <w:tcPr>
            <w:tcW w:w="7372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color w:val="000000"/>
                <w:lang w:eastAsia="en-PH"/>
              </w:rPr>
              <w:t>Data Flow Diagram. This represents the flow of data process and the data entities involved within the system.</w:t>
            </w:r>
          </w:p>
        </w:tc>
      </w:tr>
      <w:tr w:rsidR="00781CEE" w:rsidRPr="00781CEE" w:rsidTr="00C80F51">
        <w:trPr>
          <w:trHeight w:val="300"/>
        </w:trPr>
        <w:tc>
          <w:tcPr>
            <w:tcW w:w="2410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ERD</w:t>
            </w:r>
          </w:p>
        </w:tc>
        <w:tc>
          <w:tcPr>
            <w:tcW w:w="7372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color w:val="000000"/>
                <w:lang w:eastAsia="en-PH"/>
              </w:rPr>
              <w:t>Entity Relationship Diagram shows how each entity is connected to another and the tables to be used for the databases.</w:t>
            </w:r>
          </w:p>
        </w:tc>
      </w:tr>
      <w:tr w:rsidR="00781CEE" w:rsidRPr="00781CEE" w:rsidTr="00C80F51">
        <w:trPr>
          <w:trHeight w:val="300"/>
        </w:trPr>
        <w:tc>
          <w:tcPr>
            <w:tcW w:w="2410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HTTP</w:t>
            </w:r>
          </w:p>
        </w:tc>
        <w:tc>
          <w:tcPr>
            <w:tcW w:w="7372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color w:val="000000"/>
                <w:lang w:eastAsia="en-PH"/>
              </w:rPr>
              <w:t>HyperText Transfer Protocol. It is the underlying protocol used by the World Wide Web, and this protocol defines how messages are formatted and transmitted.</w:t>
            </w:r>
          </w:p>
        </w:tc>
      </w:tr>
      <w:tr w:rsidR="00781CEE" w:rsidRPr="00781CEE" w:rsidTr="00C80F51">
        <w:trPr>
          <w:trHeight w:val="300"/>
        </w:trPr>
        <w:tc>
          <w:tcPr>
            <w:tcW w:w="2410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Interaction</w:t>
            </w:r>
          </w:p>
        </w:tc>
        <w:tc>
          <w:tcPr>
            <w:tcW w:w="7372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color w:val="000000"/>
                <w:lang w:eastAsia="en-PH"/>
              </w:rPr>
              <w:t>When the student and faculty communicate with each other.</w:t>
            </w:r>
          </w:p>
        </w:tc>
      </w:tr>
      <w:tr w:rsidR="00781CEE" w:rsidRPr="00781CEE" w:rsidTr="00C80F51">
        <w:trPr>
          <w:trHeight w:val="300"/>
        </w:trPr>
        <w:tc>
          <w:tcPr>
            <w:tcW w:w="2410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Intranet</w:t>
            </w:r>
          </w:p>
        </w:tc>
        <w:tc>
          <w:tcPr>
            <w:tcW w:w="7372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color w:val="000000"/>
                <w:lang w:eastAsia="en-PH"/>
              </w:rPr>
              <w:t>A local or restricted communications network, especially a private network created using Word Wide Web software.</w:t>
            </w:r>
          </w:p>
        </w:tc>
      </w:tr>
      <w:tr w:rsidR="00781CEE" w:rsidRPr="00781CEE" w:rsidTr="00C80F51">
        <w:trPr>
          <w:trHeight w:val="300"/>
        </w:trPr>
        <w:tc>
          <w:tcPr>
            <w:tcW w:w="2410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Nature</w:t>
            </w:r>
          </w:p>
        </w:tc>
        <w:tc>
          <w:tcPr>
            <w:tcW w:w="7372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color w:val="000000"/>
                <w:lang w:eastAsia="en-PH"/>
              </w:rPr>
              <w:t>The choices of the user if the case created is Academic or Curricular matter.</w:t>
            </w:r>
          </w:p>
        </w:tc>
      </w:tr>
      <w:tr w:rsidR="00781CEE" w:rsidRPr="00781CEE" w:rsidTr="00C80F51">
        <w:trPr>
          <w:trHeight w:val="300"/>
        </w:trPr>
        <w:tc>
          <w:tcPr>
            <w:tcW w:w="2410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Security Confirmation</w:t>
            </w:r>
          </w:p>
        </w:tc>
        <w:tc>
          <w:tcPr>
            <w:tcW w:w="7372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color w:val="000000"/>
                <w:lang w:eastAsia="en-PH"/>
              </w:rPr>
              <w:t>A confirmation that informs the user if the security questions are already answered or if the user changed his/her password.</w:t>
            </w:r>
          </w:p>
        </w:tc>
      </w:tr>
      <w:tr w:rsidR="00781CEE" w:rsidRPr="00781CEE" w:rsidTr="00C80F51">
        <w:trPr>
          <w:trHeight w:val="300"/>
        </w:trPr>
        <w:tc>
          <w:tcPr>
            <w:tcW w:w="2410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Security Information</w:t>
            </w:r>
          </w:p>
        </w:tc>
        <w:tc>
          <w:tcPr>
            <w:tcW w:w="7372" w:type="dxa"/>
            <w:noWrap/>
            <w:hideMark/>
          </w:tcPr>
          <w:p w:rsidR="00C80F51" w:rsidRPr="00781CEE" w:rsidRDefault="00C80F51" w:rsidP="00FC31D7">
            <w:pPr>
              <w:rPr>
                <w:rFonts w:ascii="Calibri" w:eastAsia="Times New Roman" w:hAnsi="Calibri" w:cs="Calibri"/>
                <w:color w:val="0563C1"/>
                <w:lang w:eastAsia="en-PH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lang w:eastAsia="en-PH"/>
              </w:rPr>
              <w:t>The practice of preventing unauthorized access by answering security questions. The answers to the questions are called Security Information.</w:t>
            </w:r>
          </w:p>
        </w:tc>
      </w:tr>
      <w:tr w:rsidR="00781CEE" w:rsidRPr="00781CEE" w:rsidTr="00C80F51">
        <w:trPr>
          <w:trHeight w:val="300"/>
        </w:trPr>
        <w:tc>
          <w:tcPr>
            <w:tcW w:w="2410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Web-Based Application</w:t>
            </w:r>
          </w:p>
        </w:tc>
        <w:tc>
          <w:tcPr>
            <w:tcW w:w="7372" w:type="dxa"/>
            <w:noWrap/>
            <w:hideMark/>
          </w:tcPr>
          <w:p w:rsidR="00781CEE" w:rsidRPr="00781CEE" w:rsidRDefault="00781CEE" w:rsidP="00FC31D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81CEE">
              <w:rPr>
                <w:rFonts w:ascii="Calibri" w:eastAsia="Times New Roman" w:hAnsi="Calibri" w:cs="Calibri"/>
                <w:color w:val="000000"/>
                <w:lang w:eastAsia="en-PH"/>
              </w:rPr>
              <w:t>Any program that is accessed over a network connection using HTTP, rather than existing within a device’s memory.</w:t>
            </w:r>
          </w:p>
        </w:tc>
      </w:tr>
    </w:tbl>
    <w:p w:rsidR="003271CF" w:rsidRDefault="003271CF"/>
    <w:p w:rsidR="0046127A" w:rsidRDefault="0046127A">
      <w:r>
        <w:t>References:</w:t>
      </w:r>
    </w:p>
    <w:p w:rsidR="0046127A" w:rsidRDefault="008A306D">
      <w:r>
        <w:t xml:space="preserve">[1] </w:t>
      </w:r>
      <w:r w:rsidR="00252D21">
        <w:t xml:space="preserve">Content Management by Renato </w:t>
      </w:r>
      <w:proofErr w:type="spellStart"/>
      <w:r w:rsidR="00252D21">
        <w:t>Fua</w:t>
      </w:r>
      <w:proofErr w:type="spellEnd"/>
      <w:r w:rsidR="00252D21">
        <w:t xml:space="preserve">, </w:t>
      </w:r>
      <w:proofErr w:type="spellStart"/>
      <w:r w:rsidR="00252D21">
        <w:t>Sweetselle</w:t>
      </w:r>
      <w:proofErr w:type="spellEnd"/>
      <w:r w:rsidR="00252D21">
        <w:t xml:space="preserve"> </w:t>
      </w:r>
      <w:proofErr w:type="spellStart"/>
      <w:r w:rsidR="00252D21">
        <w:t>Cardama</w:t>
      </w:r>
      <w:proofErr w:type="spellEnd"/>
      <w:r w:rsidR="00252D21">
        <w:t>, and Jessie Jay Salvador</w:t>
      </w:r>
    </w:p>
    <w:p w:rsidR="008A306D" w:rsidRDefault="008A306D">
      <w:r>
        <w:t xml:space="preserve">[2] </w:t>
      </w:r>
      <w:r w:rsidR="00252D21">
        <w:t xml:space="preserve">Thomson Reuters, </w:t>
      </w:r>
      <w:hyperlink r:id="rId4" w:history="1">
        <w:r w:rsidR="00252D21" w:rsidRPr="00A11168">
          <w:rPr>
            <w:rStyle w:val="Hyperlink"/>
          </w:rPr>
          <w:t>https://uk.practicallaw.thomsonreuters.com/1-505-0353?transitionType=Default&amp;contextData=(sc.Default)&amp;firstPage=true&amp;bhcp=1</w:t>
        </w:r>
      </w:hyperlink>
    </w:p>
    <w:p w:rsidR="00CD440A" w:rsidRDefault="00CD440A">
      <w:r>
        <w:t xml:space="preserve">[3] Wikipedia, </w:t>
      </w:r>
      <w:r w:rsidRPr="00CD440A">
        <w:t>https://en.wikipedia.org/wiki/Information</w:t>
      </w:r>
    </w:p>
    <w:sectPr w:rsidR="00CD4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7A"/>
    <w:rsid w:val="00252D21"/>
    <w:rsid w:val="002E6252"/>
    <w:rsid w:val="00315047"/>
    <w:rsid w:val="003271CF"/>
    <w:rsid w:val="0046127A"/>
    <w:rsid w:val="00781CEE"/>
    <w:rsid w:val="008A306D"/>
    <w:rsid w:val="009734A5"/>
    <w:rsid w:val="00C80F51"/>
    <w:rsid w:val="00CD440A"/>
    <w:rsid w:val="00FC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3AEEB-6C15-4038-A820-57FD88D6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127A"/>
    <w:rPr>
      <w:color w:val="0000FF"/>
      <w:u w:val="single"/>
    </w:rPr>
  </w:style>
  <w:style w:type="table" w:styleId="GridTable6Colorful">
    <w:name w:val="Grid Table 6 Colorful"/>
    <w:basedOn w:val="TableNormal"/>
    <w:uiPriority w:val="51"/>
    <w:rsid w:val="00781CE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.practicallaw.thomsonreuters.com/1-505-0353?transitionType=Default&amp;contextData=(sc.Default)&amp;firstPage=true&amp;bhc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Alejandro</dc:creator>
  <cp:keywords/>
  <dc:description/>
  <cp:lastModifiedBy>Rosemarie Alejandro</cp:lastModifiedBy>
  <cp:revision>7</cp:revision>
  <dcterms:created xsi:type="dcterms:W3CDTF">2018-03-11T06:48:00Z</dcterms:created>
  <dcterms:modified xsi:type="dcterms:W3CDTF">2018-03-11T08:11:00Z</dcterms:modified>
</cp:coreProperties>
</file>