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360C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CD68AF"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68A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68A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68A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68A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68A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68A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68A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A360C2"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95BBE" w:rsidP="009435EB">
            <w:pPr>
              <w:spacing w:before="40" w:after="40"/>
            </w:pPr>
            <w:r>
              <w:t>10/16</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B95BBE" w:rsidP="006D6AD8">
            <w:pPr>
              <w:pStyle w:val="StyleTableHeader10pt"/>
              <w:spacing w:before="20" w:after="60"/>
              <w:jc w:val="left"/>
              <w:rPr>
                <w:b w:val="0"/>
              </w:rPr>
            </w:pPr>
            <w:r>
              <w:rPr>
                <w:b w:val="0"/>
              </w:rPr>
              <w:t>10/17</w:t>
            </w:r>
            <w:r w:rsidR="006D6AD8">
              <w:rPr>
                <w:b w:val="0"/>
              </w:rPr>
              <w:t xml:space="preserve">/16 </w:t>
            </w:r>
            <w:r w:rsidR="00840033" w:rsidRPr="00A951FF">
              <w:rPr>
                <w:b w:val="0"/>
              </w:rPr>
              <w:t>to</w:t>
            </w:r>
            <w:r>
              <w:rPr>
                <w:b w:val="0"/>
              </w:rPr>
              <w:t xml:space="preserve"> 10/24</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7D7E" w:rsidP="00811B77">
                  <w:pPr>
                    <w:numPr>
                      <w:ilvl w:val="0"/>
                      <w:numId w:val="4"/>
                    </w:numPr>
                    <w:spacing w:before="40" w:after="40"/>
                  </w:pPr>
                  <w:r w:rsidRPr="001F7D7E">
                    <w:t>Edit</w:t>
                  </w:r>
                  <w:r w:rsidR="00A90582">
                    <w:t>ed</w:t>
                  </w:r>
                  <w:r w:rsidRPr="001F7D7E">
                    <w:t xml:space="preserve"> research paper (according to the factors pointed out by the project consultant)</w:t>
                  </w:r>
                </w:p>
              </w:tc>
              <w:tc>
                <w:tcPr>
                  <w:tcW w:w="1250" w:type="dxa"/>
                  <w:vAlign w:val="top"/>
                </w:tcPr>
                <w:p w:rsidR="009435EB" w:rsidRDefault="00B95BBE" w:rsidP="001F7D7E">
                  <w:pPr>
                    <w:spacing w:before="40" w:after="40"/>
                    <w:jc w:val="center"/>
                  </w:pPr>
                  <w:r>
                    <w:t>10/17</w:t>
                  </w:r>
                  <w:r w:rsidR="001F7D7E">
                    <w:t>/16</w:t>
                  </w:r>
                </w:p>
              </w:tc>
              <w:tc>
                <w:tcPr>
                  <w:tcW w:w="1606" w:type="dxa"/>
                  <w:vAlign w:val="top"/>
                </w:tcPr>
                <w:p w:rsidR="009435EB" w:rsidRDefault="00B95BBE" w:rsidP="001F7D7E">
                  <w:pPr>
                    <w:spacing w:before="40" w:after="40"/>
                    <w:jc w:val="center"/>
                  </w:pPr>
                  <w:r>
                    <w:t>70</w:t>
                  </w:r>
                  <w:r w:rsidR="001F7D7E">
                    <w:t>%</w:t>
                  </w:r>
                </w:p>
              </w:tc>
              <w:tc>
                <w:tcPr>
                  <w:tcW w:w="2557" w:type="dxa"/>
                  <w:vAlign w:val="top"/>
                </w:tcPr>
                <w:p w:rsidR="009435EB" w:rsidRPr="00C13EAB" w:rsidRDefault="001F7D7E" w:rsidP="001F7D7E">
                  <w:pPr>
                    <w:spacing w:before="40" w:after="40"/>
                    <w:jc w:val="center"/>
                  </w:pPr>
                  <w:r>
                    <w:t>Behind Schedule</w:t>
                  </w:r>
                </w:p>
              </w:tc>
            </w:tr>
            <w:tr w:rsidR="00B95BB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95BBE" w:rsidRPr="00C13EAB" w:rsidRDefault="00B95BBE" w:rsidP="00B95BBE">
                  <w:pPr>
                    <w:pStyle w:val="ListParagraph"/>
                    <w:numPr>
                      <w:ilvl w:val="0"/>
                      <w:numId w:val="4"/>
                    </w:numPr>
                    <w:spacing w:before="40" w:after="40"/>
                  </w:pPr>
                  <w:r>
                    <w:t>Complete</w:t>
                  </w:r>
                  <w:r w:rsidR="00A90582">
                    <w:t>d</w:t>
                  </w:r>
                  <w:r>
                    <w:t xml:space="preserve"> the P</w:t>
                  </w:r>
                  <w:r>
                    <w:t>roject Vision and Scope and Statement of Work Document (SOW)</w:t>
                  </w:r>
                </w:p>
              </w:tc>
              <w:tc>
                <w:tcPr>
                  <w:tcW w:w="1250" w:type="dxa"/>
                  <w:vAlign w:val="top"/>
                </w:tcPr>
                <w:p w:rsidR="00B95BBE" w:rsidRDefault="00B95BBE" w:rsidP="00B95BBE">
                  <w:pPr>
                    <w:spacing w:before="40" w:after="40"/>
                    <w:jc w:val="center"/>
                  </w:pPr>
                  <w:r>
                    <w:t>10/</w:t>
                  </w:r>
                  <w:r>
                    <w:t>12/16</w:t>
                  </w:r>
                </w:p>
              </w:tc>
              <w:tc>
                <w:tcPr>
                  <w:tcW w:w="1606" w:type="dxa"/>
                  <w:vAlign w:val="top"/>
                </w:tcPr>
                <w:p w:rsidR="00B95BBE" w:rsidRDefault="00B95BBE" w:rsidP="00B95BBE">
                  <w:pPr>
                    <w:spacing w:before="40" w:after="40"/>
                    <w:jc w:val="center"/>
                  </w:pPr>
                  <w:r>
                    <w:t>100%</w:t>
                  </w:r>
                </w:p>
              </w:tc>
              <w:tc>
                <w:tcPr>
                  <w:tcW w:w="2557" w:type="dxa"/>
                  <w:vAlign w:val="top"/>
                </w:tcPr>
                <w:p w:rsidR="00B95BBE" w:rsidRPr="00C13EAB" w:rsidRDefault="00B95BBE" w:rsidP="00B95BBE">
                  <w:pPr>
                    <w:spacing w:before="40" w:after="40"/>
                    <w:jc w:val="center"/>
                  </w:pPr>
                  <w:r>
                    <w:t>On Schedule</w:t>
                  </w:r>
                </w:p>
              </w:tc>
            </w:tr>
            <w:tr w:rsidR="00B95BB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95BBE" w:rsidRPr="00C13EAB" w:rsidRDefault="00A90582" w:rsidP="00B95BBE">
                  <w:pPr>
                    <w:numPr>
                      <w:ilvl w:val="0"/>
                      <w:numId w:val="4"/>
                    </w:numPr>
                    <w:spacing w:before="40" w:after="40"/>
                  </w:pPr>
                  <w:r>
                    <w:t>Studied</w:t>
                  </w:r>
                  <w:bookmarkStart w:id="22" w:name="_GoBack"/>
                  <w:bookmarkEnd w:id="22"/>
                  <w:r w:rsidR="00B95BBE" w:rsidRPr="00B95BBE">
                    <w:t xml:space="preserve"> Bag-of-Words (and how WEKA toolkit handles it)</w:t>
                  </w:r>
                </w:p>
              </w:tc>
              <w:tc>
                <w:tcPr>
                  <w:tcW w:w="1250" w:type="dxa"/>
                  <w:vAlign w:val="top"/>
                </w:tcPr>
                <w:p w:rsidR="00B95BBE" w:rsidRDefault="00B95BBE" w:rsidP="00B95BBE">
                  <w:pPr>
                    <w:spacing w:before="40" w:after="40"/>
                  </w:pPr>
                  <w:r>
                    <w:t xml:space="preserve">  10/17/16</w:t>
                  </w:r>
                </w:p>
              </w:tc>
              <w:tc>
                <w:tcPr>
                  <w:tcW w:w="1606" w:type="dxa"/>
                  <w:vAlign w:val="top"/>
                </w:tcPr>
                <w:p w:rsidR="00B95BBE" w:rsidRDefault="00B95BBE" w:rsidP="00B95BBE">
                  <w:pPr>
                    <w:spacing w:before="40" w:after="40"/>
                    <w:jc w:val="center"/>
                  </w:pPr>
                  <w:r>
                    <w:t>20%</w:t>
                  </w:r>
                </w:p>
              </w:tc>
              <w:tc>
                <w:tcPr>
                  <w:tcW w:w="2557" w:type="dxa"/>
                  <w:vAlign w:val="top"/>
                </w:tcPr>
                <w:p w:rsidR="00B95BBE" w:rsidRPr="00C13EAB" w:rsidRDefault="00B95BBE" w:rsidP="00B95BBE">
                  <w:pPr>
                    <w:spacing w:before="40" w:after="40"/>
                    <w:jc w:val="center"/>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340F4" w:rsidP="008D45BB">
                  <w:pPr>
                    <w:pStyle w:val="ListParagraph"/>
                    <w:numPr>
                      <w:ilvl w:val="0"/>
                      <w:numId w:val="4"/>
                    </w:numPr>
                    <w:spacing w:before="40" w:after="40"/>
                  </w:pPr>
                  <w:r>
                    <w:t xml:space="preserve">Edit </w:t>
                  </w:r>
                  <w:r w:rsidR="00A90582">
                    <w:t xml:space="preserve">and finalize </w:t>
                  </w:r>
                  <w:r>
                    <w:t>research paper contents (</w:t>
                  </w:r>
                  <w:r w:rsidR="001F7D7E">
                    <w:t>alter the ideas that were pointed out to be lacking/incorrect by the project consultant</w:t>
                  </w:r>
                  <w:r w:rsidR="00B95BBE">
                    <w:t xml:space="preserve"> and add the statements claimed in the Project </w:t>
                  </w:r>
                  <w:r w:rsidR="00B95BBE">
                    <w:lastRenderedPageBreak/>
                    <w:t>Vision and Scope Document and SOW</w:t>
                  </w:r>
                  <w:r w:rsidR="001F7D7E">
                    <w:t>)</w:t>
                  </w:r>
                </w:p>
              </w:tc>
              <w:tc>
                <w:tcPr>
                  <w:tcW w:w="1250" w:type="dxa"/>
                  <w:vAlign w:val="top"/>
                </w:tcPr>
                <w:p w:rsidR="009435EB" w:rsidRDefault="00A90582" w:rsidP="003619B3">
                  <w:pPr>
                    <w:spacing w:before="40" w:after="40"/>
                    <w:jc w:val="center"/>
                  </w:pPr>
                  <w:r>
                    <w:lastRenderedPageBreak/>
                    <w:t>10/22</w:t>
                  </w:r>
                  <w:r w:rsidR="003619B3">
                    <w:t>/16</w:t>
                  </w:r>
                </w:p>
              </w:tc>
              <w:tc>
                <w:tcPr>
                  <w:tcW w:w="1606" w:type="dxa"/>
                  <w:vAlign w:val="top"/>
                </w:tcPr>
                <w:p w:rsidR="009435EB" w:rsidRDefault="00B95BBE" w:rsidP="003619B3">
                  <w:pPr>
                    <w:spacing w:before="40" w:after="40"/>
                    <w:jc w:val="center"/>
                  </w:pPr>
                  <w:r>
                    <w:t>70</w:t>
                  </w:r>
                  <w:r w:rsidR="003619B3">
                    <w:t>%</w:t>
                  </w:r>
                </w:p>
              </w:tc>
              <w:tc>
                <w:tcPr>
                  <w:tcW w:w="2557" w:type="dxa"/>
                  <w:vAlign w:val="top"/>
                </w:tcPr>
                <w:p w:rsidR="009435EB" w:rsidRPr="00C13EAB" w:rsidRDefault="003619B3" w:rsidP="003619B3">
                  <w:pPr>
                    <w:spacing w:before="40" w:after="40"/>
                    <w:jc w:val="center"/>
                  </w:pPr>
                  <w:r>
                    <w:t>On Schedule</w:t>
                  </w:r>
                </w:p>
              </w:tc>
            </w:tr>
            <w:tr w:rsidR="00A90582"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90582" w:rsidRDefault="00A90582" w:rsidP="008D45BB">
                  <w:pPr>
                    <w:pStyle w:val="ListParagraph"/>
                    <w:numPr>
                      <w:ilvl w:val="0"/>
                      <w:numId w:val="4"/>
                    </w:numPr>
                    <w:spacing w:before="40" w:after="40"/>
                  </w:pPr>
                  <w:r>
                    <w:t>Prepare a powerpoint presentation (for midterm defense)</w:t>
                  </w:r>
                </w:p>
              </w:tc>
              <w:tc>
                <w:tcPr>
                  <w:tcW w:w="1250" w:type="dxa"/>
                  <w:vAlign w:val="top"/>
                </w:tcPr>
                <w:p w:rsidR="00A90582" w:rsidRDefault="00A90582" w:rsidP="003619B3">
                  <w:pPr>
                    <w:spacing w:before="40" w:after="40"/>
                    <w:jc w:val="center"/>
                  </w:pPr>
                  <w:r>
                    <w:t>10/22/16</w:t>
                  </w:r>
                </w:p>
              </w:tc>
              <w:tc>
                <w:tcPr>
                  <w:tcW w:w="1606" w:type="dxa"/>
                  <w:vAlign w:val="top"/>
                </w:tcPr>
                <w:p w:rsidR="00A90582" w:rsidRDefault="00A90582" w:rsidP="003619B3">
                  <w:pPr>
                    <w:spacing w:before="40" w:after="40"/>
                    <w:jc w:val="center"/>
                  </w:pPr>
                  <w:r>
                    <w:t>------</w:t>
                  </w:r>
                </w:p>
              </w:tc>
              <w:tc>
                <w:tcPr>
                  <w:tcW w:w="2557" w:type="dxa"/>
                  <w:vAlign w:val="top"/>
                </w:tcPr>
                <w:p w:rsidR="00A90582" w:rsidRDefault="00A90582" w:rsidP="003619B3">
                  <w:pPr>
                    <w:spacing w:before="40" w:after="40"/>
                    <w:jc w:val="center"/>
                  </w:pPr>
                  <w:r>
                    <w:t>On Schedule</w:t>
                  </w:r>
                </w:p>
              </w:tc>
            </w:tr>
            <w:tr w:rsidR="002340F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340F4" w:rsidRPr="00C13EAB" w:rsidRDefault="002340F4" w:rsidP="002340F4">
                  <w:pPr>
                    <w:pStyle w:val="ListParagraph"/>
                    <w:numPr>
                      <w:ilvl w:val="0"/>
                      <w:numId w:val="4"/>
                    </w:numPr>
                    <w:spacing w:before="40" w:after="40"/>
                  </w:pPr>
                  <w:r w:rsidRPr="001F7D7E">
                    <w:t>Study Bag-of-Words (and how WEKA toolkit handles it)</w:t>
                  </w:r>
                </w:p>
              </w:tc>
              <w:tc>
                <w:tcPr>
                  <w:tcW w:w="1250" w:type="dxa"/>
                  <w:vAlign w:val="top"/>
                </w:tcPr>
                <w:p w:rsidR="002340F4" w:rsidRDefault="00B95BBE" w:rsidP="002340F4">
                  <w:pPr>
                    <w:spacing w:before="40" w:after="40"/>
                    <w:jc w:val="center"/>
                  </w:pPr>
                  <w:r>
                    <w:t>10/24</w:t>
                  </w:r>
                  <w:r w:rsidR="002340F4">
                    <w:t>/16</w:t>
                  </w:r>
                </w:p>
              </w:tc>
              <w:tc>
                <w:tcPr>
                  <w:tcW w:w="1606" w:type="dxa"/>
                  <w:vAlign w:val="top"/>
                </w:tcPr>
                <w:p w:rsidR="002340F4" w:rsidRDefault="00B95BBE" w:rsidP="002340F4">
                  <w:pPr>
                    <w:spacing w:before="40" w:after="40"/>
                    <w:jc w:val="center"/>
                  </w:pPr>
                  <w:r>
                    <w:t>2</w:t>
                  </w:r>
                  <w:r w:rsidR="002340F4">
                    <w:t>0%</w:t>
                  </w:r>
                </w:p>
              </w:tc>
              <w:tc>
                <w:tcPr>
                  <w:tcW w:w="2557" w:type="dxa"/>
                  <w:vAlign w:val="top"/>
                </w:tcPr>
                <w:p w:rsidR="002340F4" w:rsidRPr="00C13EAB" w:rsidRDefault="002340F4" w:rsidP="002340F4">
                  <w:pPr>
                    <w:spacing w:before="40" w:after="40"/>
                    <w:jc w:val="center"/>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 xml:space="preserve">information available on the internet and several people who are experts on </w:t>
                  </w:r>
                  <w:r>
                    <w:lastRenderedPageBreak/>
                    <w:t>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360C2"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lastRenderedPageBreak/>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A360C2"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A360C2"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8AF" w:rsidRDefault="00CD68AF">
      <w:r>
        <w:separator/>
      </w:r>
    </w:p>
  </w:endnote>
  <w:endnote w:type="continuationSeparator" w:id="0">
    <w:p w:rsidR="00CD68AF" w:rsidRDefault="00CD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17CA2">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360C2">
      <w:rPr>
        <w:noProof/>
        <w:sz w:val="18"/>
        <w:szCs w:val="18"/>
      </w:rPr>
      <w:t>10/15/2016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8AF" w:rsidRDefault="00CD68AF">
      <w:r>
        <w:separator/>
      </w:r>
    </w:p>
  </w:footnote>
  <w:footnote w:type="continuationSeparator" w:id="0">
    <w:p w:rsidR="00CD68AF" w:rsidRDefault="00CD6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3BC47"/>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786</TotalTime>
  <Pages>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21</cp:revision>
  <cp:lastPrinted>2004-07-12T06:29:00Z</cp:lastPrinted>
  <dcterms:created xsi:type="dcterms:W3CDTF">2013-05-08T02:00:00Z</dcterms:created>
  <dcterms:modified xsi:type="dcterms:W3CDTF">2016-10-15T14:21:00Z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