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C025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to Analyze </w:t>
      </w:r>
      <w:r w:rsidR="00970830">
        <w:rPr>
          <w:rFonts w:cs="Arial"/>
          <w:sz w:val="22"/>
          <w:szCs w:val="22"/>
        </w:rPr>
        <w:t>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9C025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 xml:space="preserve"> 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025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025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025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025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025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C025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C025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0A523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60029" w:rsidP="009435EB">
            <w:pPr>
              <w:spacing w:before="40" w:after="40"/>
            </w:pPr>
            <w:r>
              <w:t>09/25</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60029" w:rsidP="006D6AD8">
            <w:pPr>
              <w:pStyle w:val="StyleTableHeader10pt"/>
              <w:spacing w:before="20" w:after="60"/>
              <w:jc w:val="left"/>
              <w:rPr>
                <w:b w:val="0"/>
              </w:rPr>
            </w:pPr>
            <w:r>
              <w:rPr>
                <w:b w:val="0"/>
              </w:rPr>
              <w:t>09/26</w:t>
            </w:r>
            <w:r w:rsidR="006D6AD8">
              <w:rPr>
                <w:b w:val="0"/>
              </w:rPr>
              <w:t xml:space="preserve">/16 </w:t>
            </w:r>
            <w:r w:rsidR="00840033" w:rsidRPr="00A951FF">
              <w:rPr>
                <w:b w:val="0"/>
              </w:rPr>
              <w:t>to</w:t>
            </w:r>
            <w:r>
              <w:rPr>
                <w:b w:val="0"/>
              </w:rPr>
              <w:t xml:space="preserve"> 10/03</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bookmarkStart w:id="22" w:name="_GoBack"/>
            <w:bookmarkEnd w:id="22"/>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 xml:space="preserve">This model will be subjected to different tests which will then be measured using 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671B5F">
                  <w:pPr>
                    <w:pStyle w:val="ListParagraph"/>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619B3" w:rsidP="008D45BB">
                  <w:pPr>
                    <w:pStyle w:val="ListParagraph"/>
                    <w:numPr>
                      <w:ilvl w:val="0"/>
                      <w:numId w:val="4"/>
                    </w:numPr>
                    <w:spacing w:before="40" w:after="40"/>
                  </w:pPr>
                  <w:r>
                    <w:t>Edit research paper (according to the factors pointed out by the project consultant)</w:t>
                  </w:r>
                </w:p>
              </w:tc>
              <w:tc>
                <w:tcPr>
                  <w:tcW w:w="1250" w:type="dxa"/>
                  <w:vAlign w:val="top"/>
                </w:tcPr>
                <w:p w:rsidR="009435EB" w:rsidRDefault="003619B3" w:rsidP="003619B3">
                  <w:pPr>
                    <w:spacing w:before="40" w:after="40"/>
                    <w:jc w:val="center"/>
                  </w:pPr>
                  <w:r>
                    <w:t>10/03/16</w:t>
                  </w:r>
                </w:p>
              </w:tc>
              <w:tc>
                <w:tcPr>
                  <w:tcW w:w="1606" w:type="dxa"/>
                  <w:vAlign w:val="top"/>
                </w:tcPr>
                <w:p w:rsidR="009435EB" w:rsidRDefault="003619B3" w:rsidP="003619B3">
                  <w:pPr>
                    <w:spacing w:before="40" w:after="40"/>
                    <w:jc w:val="center"/>
                  </w:pPr>
                  <w:r>
                    <w:t>50%</w:t>
                  </w:r>
                </w:p>
              </w:tc>
              <w:tc>
                <w:tcPr>
                  <w:tcW w:w="2557" w:type="dxa"/>
                  <w:vAlign w:val="top"/>
                </w:tcPr>
                <w:p w:rsidR="009435EB" w:rsidRPr="00C13EAB" w:rsidRDefault="003619B3" w:rsidP="003619B3">
                  <w:pPr>
                    <w:spacing w:before="40" w:after="40"/>
                    <w:jc w:val="center"/>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619B3" w:rsidP="00CD4105">
                  <w:pPr>
                    <w:numPr>
                      <w:ilvl w:val="0"/>
                      <w:numId w:val="4"/>
                    </w:numPr>
                    <w:spacing w:before="40" w:after="40"/>
                  </w:pPr>
                  <w:r>
                    <w:t>Study Bag-of-Words (and how WEKA toolkit handles it)</w:t>
                  </w:r>
                </w:p>
              </w:tc>
              <w:tc>
                <w:tcPr>
                  <w:tcW w:w="1250" w:type="dxa"/>
                  <w:vAlign w:val="top"/>
                </w:tcPr>
                <w:p w:rsidR="009435EB" w:rsidRDefault="003619B3" w:rsidP="003619B3">
                  <w:pPr>
                    <w:spacing w:before="40" w:after="40"/>
                    <w:jc w:val="center"/>
                  </w:pPr>
                  <w:r>
                    <w:t>10/03/16</w:t>
                  </w:r>
                </w:p>
              </w:tc>
              <w:tc>
                <w:tcPr>
                  <w:tcW w:w="1606" w:type="dxa"/>
                  <w:vAlign w:val="top"/>
                </w:tcPr>
                <w:p w:rsidR="009435EB" w:rsidRDefault="003619B3" w:rsidP="003619B3">
                  <w:pPr>
                    <w:spacing w:before="40" w:after="40"/>
                    <w:jc w:val="center"/>
                  </w:pPr>
                  <w:r>
                    <w:t>-----</w:t>
                  </w:r>
                </w:p>
              </w:tc>
              <w:tc>
                <w:tcPr>
                  <w:tcW w:w="2557" w:type="dxa"/>
                  <w:vAlign w:val="top"/>
                </w:tcPr>
                <w:p w:rsidR="009435EB" w:rsidRPr="00C13EAB" w:rsidRDefault="003619B3" w:rsidP="003619B3">
                  <w:pPr>
                    <w:spacing w:before="40" w:after="40"/>
                    <w:jc w:val="center"/>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w:t>
                  </w:r>
                  <w:r>
                    <w:lastRenderedPageBreak/>
                    <w:t>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lastRenderedPageBreak/>
                    <w:t xml:space="preserve">Failure to comply with the milestone requirements will delay the accomplishment </w:t>
                  </w:r>
                  <w:r>
                    <w:lastRenderedPageBreak/>
                    <w:t>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B05FC0" w:rsidP="00FF4E54">
                  <w:pPr>
                    <w:spacing w:before="40" w:after="40"/>
                  </w:pPr>
                  <w:r>
                    <w:t xml:space="preserve">Knowing how to use Support Vector Machine (SVM) Algorithm in </w:t>
                  </w:r>
                  <w:r w:rsidR="00FF4E54">
                    <w:t>classifying text (e.g. differentiating cyberbullying from non-cyberbullying</w:t>
                  </w:r>
                  <w:r w:rsidR="00E96B20">
                    <w:t>)</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E96B20" w:rsidP="00E96B20">
                  <w:pPr>
                    <w:spacing w:before="40" w:after="40"/>
                  </w:pPr>
                  <w:r>
                    <w:t>R</w:t>
                  </w:r>
                  <w:r w:rsidR="0029128E">
                    <w:t xml:space="preserve">evisions to be done on the </w:t>
                  </w:r>
                  <w:r>
                    <w:t xml:space="preserve">paper as the </w:t>
                  </w:r>
                  <w:r w:rsidR="0029128E">
                    <w:t>project-making process continues</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w:t>
                  </w:r>
                  <w:r w:rsidR="009A7FC2">
                    <w:lastRenderedPageBreak/>
                    <w:t>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0A5231"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9264" behindDoc="1" locked="0" layoutInCell="1" allowOverlap="1" wp14:anchorId="550D26A6" wp14:editId="7490818C">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0A523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0A523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25D" w:rsidRDefault="009C025D">
      <w:r>
        <w:separator/>
      </w:r>
    </w:p>
  </w:endnote>
  <w:endnote w:type="continuationSeparator" w:id="0">
    <w:p w:rsidR="009C025D" w:rsidRDefault="009C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669FD">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A5231">
      <w:rPr>
        <w:noProof/>
        <w:sz w:val="18"/>
        <w:szCs w:val="18"/>
      </w:rPr>
      <w:t>9/25/2016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25D" w:rsidRDefault="009C025D">
      <w:r>
        <w:separator/>
      </w:r>
    </w:p>
  </w:footnote>
  <w:footnote w:type="continuationSeparator" w:id="0">
    <w:p w:rsidR="009C025D" w:rsidRDefault="009C0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5"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16"/>
  </w:num>
  <w:num w:numId="7">
    <w:abstractNumId w:val="9"/>
  </w:num>
  <w:num w:numId="8">
    <w:abstractNumId w:val="9"/>
  </w:num>
  <w:num w:numId="9">
    <w:abstractNumId w:val="9"/>
  </w:num>
  <w:num w:numId="10">
    <w:abstractNumId w:val="8"/>
  </w:num>
  <w:num w:numId="11">
    <w:abstractNumId w:val="3"/>
  </w:num>
  <w:num w:numId="12">
    <w:abstractNumId w:val="6"/>
  </w:num>
  <w:num w:numId="13">
    <w:abstractNumId w:val="7"/>
  </w:num>
  <w:num w:numId="14">
    <w:abstractNumId w:val="12"/>
  </w:num>
  <w:num w:numId="15">
    <w:abstractNumId w:val="4"/>
  </w:num>
  <w:num w:numId="16">
    <w:abstractNumId w:val="11"/>
  </w:num>
  <w:num w:numId="17">
    <w:abstractNumId w:val="14"/>
  </w:num>
  <w:num w:numId="18">
    <w:abstractNumId w:val="13"/>
  </w:num>
  <w:num w:numId="19">
    <w:abstractNumId w:val="15"/>
  </w:num>
  <w:num w:numId="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B1D59"/>
    <w:rsid w:val="00AB48B3"/>
    <w:rsid w:val="00AC1680"/>
    <w:rsid w:val="00AD6E0D"/>
    <w:rsid w:val="00AE095C"/>
    <w:rsid w:val="00AF3151"/>
    <w:rsid w:val="00AF4C81"/>
    <w:rsid w:val="00B05FC0"/>
    <w:rsid w:val="00B118C0"/>
    <w:rsid w:val="00B120AE"/>
    <w:rsid w:val="00B22714"/>
    <w:rsid w:val="00B25572"/>
    <w:rsid w:val="00B34BA9"/>
    <w:rsid w:val="00B352A9"/>
    <w:rsid w:val="00B566A3"/>
    <w:rsid w:val="00B75410"/>
    <w:rsid w:val="00B8436F"/>
    <w:rsid w:val="00B939FB"/>
    <w:rsid w:val="00BA2419"/>
    <w:rsid w:val="00BA7AF5"/>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53730"/>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586</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18</cp:revision>
  <cp:lastPrinted>2004-07-12T06:29:00Z</cp:lastPrinted>
  <dcterms:created xsi:type="dcterms:W3CDTF">2013-05-08T02:00:00Z</dcterms:created>
  <dcterms:modified xsi:type="dcterms:W3CDTF">2016-09-25T08:52:00Z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