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9E201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C01839">
        <w:rPr>
          <w:rFonts w:cs="Arial"/>
          <w:sz w:val="22"/>
          <w:szCs w:val="22"/>
        </w:rPr>
        <w:t>CTGuard</w:t>
      </w:r>
      <w:proofErr w:type="spellEnd"/>
      <w:r w:rsidR="00C01839">
        <w:rPr>
          <w:rFonts w:cs="Arial"/>
          <w:sz w:val="22"/>
          <w:szCs w:val="22"/>
        </w:rPr>
        <w:t xml:space="preserve"> </w:t>
      </w:r>
      <w:r w:rsidR="00F763F9">
        <w:rPr>
          <w:rFonts w:cs="Arial"/>
          <w:sz w:val="22"/>
          <w:szCs w:val="22"/>
        </w:rPr>
        <w:t>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Commuters Association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9E201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System Analyst/Designer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Manager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</w:t>
            </w:r>
            <w:r w:rsidR="008C1B3D">
              <w:rPr>
                <w:rFonts w:cs="Arial"/>
                <w:sz w:val="20"/>
              </w:rPr>
              <w:t>z De Mesa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Franz </w:t>
            </w:r>
            <w:proofErr w:type="spellStart"/>
            <w:r>
              <w:rPr>
                <w:rFonts w:cs="Arial"/>
                <w:sz w:val="20"/>
              </w:rPr>
              <w:t>Iljah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 w:rsidRPr="00C01839">
              <w:rPr>
                <w:rFonts w:cs="Arial"/>
                <w:sz w:val="20"/>
              </w:rPr>
              <w:t>Catuncan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Albert </w:t>
            </w:r>
            <w:proofErr w:type="spellStart"/>
            <w:r w:rsidRPr="00C01839">
              <w:rPr>
                <w:rFonts w:cs="Arial"/>
                <w:sz w:val="20"/>
              </w:rPr>
              <w:t>Mojica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Jacques Vincent </w:t>
            </w:r>
            <w:proofErr w:type="spellStart"/>
            <w:r w:rsidRPr="00C01839">
              <w:rPr>
                <w:rFonts w:cs="Arial"/>
                <w:sz w:val="20"/>
              </w:rPr>
              <w:t>Barriga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Analyst/Designer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8A51BA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10/04/16</w:t>
            </w:r>
          </w:p>
        </w:tc>
        <w:tc>
          <w:tcPr>
            <w:tcW w:w="198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Application Team</w:t>
            </w:r>
          </w:p>
        </w:tc>
        <w:tc>
          <w:tcPr>
            <w:tcW w:w="4140" w:type="dxa"/>
          </w:tcPr>
          <w:p w:rsidR="007845AF" w:rsidRPr="00AA2764" w:rsidRDefault="008A51BA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Changes on how Report Button work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10/11/16</w:t>
            </w:r>
          </w:p>
        </w:tc>
        <w:tc>
          <w:tcPr>
            <w:tcW w:w="198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</w:t>
            </w:r>
            <w:proofErr w:type="spellStart"/>
            <w:r>
              <w:rPr>
                <w:rFonts w:cs="Arial"/>
                <w:sz w:val="20"/>
              </w:rPr>
              <w:t>Applcation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7845AF" w:rsidRPr="003557E7" w:rsidRDefault="00970B0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 ch</w:t>
            </w:r>
            <w:r w:rsidR="003D7667">
              <w:rPr>
                <w:rFonts w:cs="Arial"/>
                <w:sz w:val="20"/>
              </w:rPr>
              <w:t>anges done, still working with r</w:t>
            </w:r>
            <w:r>
              <w:rPr>
                <w:rFonts w:cs="Arial"/>
                <w:sz w:val="20"/>
              </w:rPr>
              <w:t>eport button.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10/18/16</w:t>
            </w: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group decided to change the project name from </w:t>
            </w: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to </w:t>
            </w: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10/24/16</w:t>
            </w:r>
          </w:p>
        </w:tc>
        <w:tc>
          <w:tcPr>
            <w:tcW w:w="198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C01839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Changes in ERD and other related tables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9E201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9E2011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9E2011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E201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E201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9E201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9E201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E201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9E201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9E201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9E2011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C01839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0E37" w:rsidP="001C05B4">
      <w:pPr>
        <w:ind w:left="590"/>
        <w:rPr>
          <w:rFonts w:cs="Arial"/>
        </w:rPr>
      </w:pPr>
      <w:r>
        <w:rPr>
          <w:rFonts w:cs="Arial"/>
        </w:rPr>
        <w:t>Development of the system was already started, but recently we just decided to change how report button work. Instead of directly send report to LTFRB just by using the applic</w:t>
      </w:r>
      <w:r w:rsidR="00034E46">
        <w:rPr>
          <w:rFonts w:cs="Arial"/>
        </w:rPr>
        <w:t xml:space="preserve">ation, we decided that we would use another application. Like for some application when you hit the button send it will give you a list of application (e.g. yahoo, </w:t>
      </w:r>
      <w:proofErr w:type="spellStart"/>
      <w:r w:rsidR="00034E46">
        <w:rPr>
          <w:rFonts w:cs="Arial"/>
        </w:rPr>
        <w:t>gmail</w:t>
      </w:r>
      <w:proofErr w:type="spellEnd"/>
      <w:r w:rsidR="00034E46">
        <w:rPr>
          <w:rFonts w:cs="Arial"/>
        </w:rPr>
        <w:t xml:space="preserve">) that </w:t>
      </w:r>
      <w:proofErr w:type="gramStart"/>
      <w:r w:rsidR="00034E46">
        <w:rPr>
          <w:rFonts w:cs="Arial"/>
        </w:rPr>
        <w:t>is</w:t>
      </w:r>
      <w:r w:rsidR="005D416D">
        <w:rPr>
          <w:rFonts w:cs="Arial"/>
        </w:rPr>
        <w:t xml:space="preserve"> installed</w:t>
      </w:r>
      <w:proofErr w:type="gramEnd"/>
      <w:r w:rsidR="005D416D">
        <w:rPr>
          <w:rFonts w:cs="Arial"/>
        </w:rPr>
        <w:t xml:space="preserve"> on</w:t>
      </w:r>
      <w:r w:rsidR="00034E46">
        <w:rPr>
          <w:rFonts w:cs="Arial"/>
        </w:rPr>
        <w:t xml:space="preserve"> your phone.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C01839" w:rsidP="009435EB">
            <w:pPr>
              <w:spacing w:before="40" w:after="40"/>
            </w:pPr>
            <w:proofErr w:type="spellStart"/>
            <w:r>
              <w:t>CTGuard</w:t>
            </w:r>
            <w:proofErr w:type="spellEnd"/>
            <w:r w:rsidR="00971C6A">
              <w:t xml:space="preserve">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C01839" w:rsidP="009435EB">
            <w:pPr>
              <w:spacing w:before="40" w:after="40"/>
            </w:pPr>
            <w:r>
              <w:t>10/24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C01839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10/18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10/23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7B198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7B198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07/15</w:t>
                  </w:r>
                  <w:r w:rsidR="00EF6278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F627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F627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70B05" w:rsidP="00CD4105">
                  <w:pPr>
                    <w:spacing w:before="40" w:after="40"/>
                  </w:pPr>
                  <w:r>
                    <w:t>10/21</w:t>
                  </w:r>
                  <w:r w:rsidR="005D416D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01839" w:rsidP="00CD4105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5D416D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C01839" w:rsidP="00CD4105">
                  <w:pPr>
                    <w:spacing w:before="40" w:after="40"/>
                  </w:pPr>
                  <w:r>
                    <w:t>50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12/02/16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8A51BA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8A51BA" w:rsidRPr="00C13EAB" w:rsidRDefault="008A51BA" w:rsidP="0041094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D023B" w:rsidP="008C1B3D">
                  <w:r>
                    <w:t xml:space="preserve">To finish </w:t>
                  </w:r>
                  <w:r w:rsidR="008C1B3D">
                    <w:t>pending features that still not working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01839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C01839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01839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E71" w:rsidRDefault="000E4E71">
      <w:r>
        <w:separator/>
      </w:r>
    </w:p>
  </w:endnote>
  <w:endnote w:type="continuationSeparator" w:id="0">
    <w:p w:rsidR="000E4E71" w:rsidRDefault="000E4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9E201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9E2011" w:rsidRPr="006E5963">
      <w:rPr>
        <w:sz w:val="18"/>
        <w:szCs w:val="18"/>
      </w:rPr>
      <w:fldChar w:fldCharType="separate"/>
    </w:r>
    <w:r w:rsidR="00C01839">
      <w:rPr>
        <w:noProof/>
        <w:sz w:val="18"/>
        <w:szCs w:val="18"/>
      </w:rPr>
      <w:t>2</w:t>
    </w:r>
    <w:r w:rsidR="009E2011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9E201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9E2011" w:rsidRPr="006E5963">
      <w:rPr>
        <w:sz w:val="18"/>
        <w:szCs w:val="18"/>
      </w:rPr>
      <w:fldChar w:fldCharType="separate"/>
    </w:r>
    <w:r w:rsidR="00C01839">
      <w:rPr>
        <w:noProof/>
        <w:sz w:val="18"/>
        <w:szCs w:val="18"/>
      </w:rPr>
      <w:t>10/24/2016</w:t>
    </w:r>
    <w:r w:rsidR="009E2011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9E2011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9E2011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9E2011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9E2011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E71" w:rsidRDefault="000E4E71">
      <w:r>
        <w:separator/>
      </w:r>
    </w:p>
  </w:footnote>
  <w:footnote w:type="continuationSeparator" w:id="0">
    <w:p w:rsidR="000E4E71" w:rsidRDefault="000E4E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40A2"/>
    <w:rsid w:val="000E2EEF"/>
    <w:rsid w:val="000E4E71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7001"/>
    <w:rsid w:val="00243A14"/>
    <w:rsid w:val="00244592"/>
    <w:rsid w:val="00251044"/>
    <w:rsid w:val="00256430"/>
    <w:rsid w:val="0026441A"/>
    <w:rsid w:val="00265D51"/>
    <w:rsid w:val="00274E4F"/>
    <w:rsid w:val="002753D4"/>
    <w:rsid w:val="002772CF"/>
    <w:rsid w:val="00286444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1436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27B5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47DD"/>
    <w:rsid w:val="003D6AB7"/>
    <w:rsid w:val="003D766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023B"/>
    <w:rsid w:val="004D2769"/>
    <w:rsid w:val="004D3BBC"/>
    <w:rsid w:val="004F6761"/>
    <w:rsid w:val="00500E9A"/>
    <w:rsid w:val="00506354"/>
    <w:rsid w:val="005208C4"/>
    <w:rsid w:val="00524BE7"/>
    <w:rsid w:val="005272F4"/>
    <w:rsid w:val="00534D52"/>
    <w:rsid w:val="0056558C"/>
    <w:rsid w:val="00573191"/>
    <w:rsid w:val="005753B7"/>
    <w:rsid w:val="00575EE7"/>
    <w:rsid w:val="005A6DC8"/>
    <w:rsid w:val="005B2D77"/>
    <w:rsid w:val="005C1B07"/>
    <w:rsid w:val="005C31A7"/>
    <w:rsid w:val="005C6B99"/>
    <w:rsid w:val="005D00AA"/>
    <w:rsid w:val="005D416D"/>
    <w:rsid w:val="005F397F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58C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46AD"/>
    <w:rsid w:val="00756C7D"/>
    <w:rsid w:val="00761842"/>
    <w:rsid w:val="00765F37"/>
    <w:rsid w:val="0077250A"/>
    <w:rsid w:val="00773A1D"/>
    <w:rsid w:val="007770EA"/>
    <w:rsid w:val="00782686"/>
    <w:rsid w:val="007845AF"/>
    <w:rsid w:val="00785011"/>
    <w:rsid w:val="007917AD"/>
    <w:rsid w:val="00796AE2"/>
    <w:rsid w:val="007B0604"/>
    <w:rsid w:val="007B198A"/>
    <w:rsid w:val="007B2BE2"/>
    <w:rsid w:val="007B661D"/>
    <w:rsid w:val="007C31D8"/>
    <w:rsid w:val="007E2391"/>
    <w:rsid w:val="007E4DDF"/>
    <w:rsid w:val="007F2EC4"/>
    <w:rsid w:val="007F4077"/>
    <w:rsid w:val="00805EE1"/>
    <w:rsid w:val="00811B77"/>
    <w:rsid w:val="00812303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51BA"/>
    <w:rsid w:val="008A6712"/>
    <w:rsid w:val="008A73E6"/>
    <w:rsid w:val="008C1B3D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70B05"/>
    <w:rsid w:val="00971C6A"/>
    <w:rsid w:val="009767AE"/>
    <w:rsid w:val="009A2B15"/>
    <w:rsid w:val="009A6D05"/>
    <w:rsid w:val="009B3C2F"/>
    <w:rsid w:val="009B3DEE"/>
    <w:rsid w:val="009E0B38"/>
    <w:rsid w:val="009E2011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2764"/>
    <w:rsid w:val="00AB1D59"/>
    <w:rsid w:val="00AC1680"/>
    <w:rsid w:val="00AE095C"/>
    <w:rsid w:val="00AE6782"/>
    <w:rsid w:val="00AF3151"/>
    <w:rsid w:val="00AF4C81"/>
    <w:rsid w:val="00B00E37"/>
    <w:rsid w:val="00B0424A"/>
    <w:rsid w:val="00B118C0"/>
    <w:rsid w:val="00B120AE"/>
    <w:rsid w:val="00B22714"/>
    <w:rsid w:val="00B25572"/>
    <w:rsid w:val="00B34BA9"/>
    <w:rsid w:val="00B426A1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1839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2721"/>
    <w:rsid w:val="00C76BAB"/>
    <w:rsid w:val="00C805B3"/>
    <w:rsid w:val="00C912D8"/>
    <w:rsid w:val="00CB3366"/>
    <w:rsid w:val="00CD4105"/>
    <w:rsid w:val="00CF6029"/>
    <w:rsid w:val="00D0286D"/>
    <w:rsid w:val="00D0658C"/>
    <w:rsid w:val="00D16C5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2372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067AD"/>
    <w:rsid w:val="00F1347A"/>
    <w:rsid w:val="00F1543D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B61A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4</TotalTime>
  <Pages>8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2</cp:revision>
  <cp:lastPrinted>2004-07-12T06:29:00Z</cp:lastPrinted>
  <dcterms:created xsi:type="dcterms:W3CDTF">2016-10-24T04:44:00Z</dcterms:created>
  <dcterms:modified xsi:type="dcterms:W3CDTF">2016-10-24T04:44:00Z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