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F06012">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F06012">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F06012">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F06012">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F06012">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043DF3">
        <w:rPr>
          <w:rFonts w:ascii="Times New Roman" w:hAnsi="Times New Roman"/>
          <w:color w:val="FF0000"/>
          <w:sz w:val="22"/>
          <w:szCs w:val="19"/>
          <w:shd w:val="clear" w:color="auto" w:fill="FFFFFF"/>
        </w:rPr>
        <w:t xml:space="preserve">prevent </w:t>
      </w:r>
      <w:r w:rsidR="004A1604" w:rsidRPr="00E97C49">
        <w:rPr>
          <w:rFonts w:ascii="Times New Roman" w:hAnsi="Times New Roman"/>
          <w:color w:val="000000"/>
          <w:sz w:val="22"/>
          <w:szCs w:val="19"/>
          <w:shd w:val="clear" w:color="auto" w:fill="FFFFFF"/>
        </w:rPr>
        <w:t>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t xml:space="preserve">This study is only limited on identifying fake news in </w:t>
      </w:r>
      <w:r w:rsidR="004F6121">
        <w:rPr>
          <w:rFonts w:ascii="Times New Roman" w:hAnsi="Times New Roman"/>
          <w:color w:val="FF0000"/>
          <w:sz w:val="22"/>
        </w:rPr>
        <w:t xml:space="preserve">microblogging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A97C23" w:rsidRPr="006D7094" w:rsidRDefault="00A97C23" w:rsidP="00A97C23">
      <w:pPr>
        <w:spacing w:line="480" w:lineRule="auto"/>
        <w:ind w:firstLine="648"/>
        <w:rPr>
          <w:rFonts w:ascii="Times New Roman" w:hAnsi="Times New Roman"/>
          <w:sz w:val="22"/>
          <w:szCs w:val="22"/>
        </w:rPr>
      </w:pPr>
      <w:r w:rsidRPr="006D7094">
        <w:rPr>
          <w:rFonts w:ascii="Times New Roman" w:hAnsi="Times New Roman"/>
          <w:sz w:val="22"/>
          <w:szCs w:val="22"/>
        </w:rPr>
        <w:t>Web browser extensions extend your web browser with additional features, modify your web pages, and combine your browser with the other services you use</w:t>
      </w:r>
      <w:r>
        <w:rPr>
          <w:rFonts w:ascii="Times New Roman" w:hAnsi="Times New Roman"/>
          <w:sz w:val="22"/>
          <w:szCs w:val="22"/>
        </w:rPr>
        <w:t xml:space="preserve"> (Hoffman, 2013)</w:t>
      </w:r>
      <w:r w:rsidRPr="006D7094">
        <w:rPr>
          <w:rFonts w:ascii="Times New Roman" w:hAnsi="Times New Roman"/>
          <w:sz w:val="22"/>
          <w:szCs w:val="22"/>
        </w:rPr>
        <w:t>.</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A97C23" w:rsidRPr="00E97C49" w:rsidRDefault="00A97C23" w:rsidP="00A97C23">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w:t>
      </w:r>
      <w:bookmarkStart w:id="14" w:name="_GoBack"/>
      <w:bookmarkEnd w:id="14"/>
      <w:r w:rsidRPr="00E97C49">
        <w:rPr>
          <w:rFonts w:ascii="Times New Roman" w:hAnsi="Times New Roman"/>
          <w:color w:val="000000"/>
          <w:sz w:val="22"/>
          <w:szCs w:val="22"/>
        </w:rPr>
        <w:t xml:space="preserve">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w:t>
      </w:r>
      <w:proofErr w:type="spellStart"/>
      <w:r w:rsidRPr="00E97C49">
        <w:rPr>
          <w:rFonts w:ascii="Times New Roman" w:hAnsi="Times New Roman"/>
          <w:sz w:val="22"/>
          <w:szCs w:val="22"/>
        </w:rPr>
        <w:t>Œfirst</w:t>
      </w:r>
      <w:proofErr w:type="spellEnd"/>
      <w:r w:rsidRPr="00E97C49">
        <w:rPr>
          <w:rFonts w:ascii="Times New Roman" w:hAnsi="Times New Roman"/>
          <w:sz w:val="22"/>
          <w:szCs w:val="22"/>
        </w:rPr>
        <w:t xml:space="preserve"> module, Capture, captures the abstract temporal </w:t>
      </w:r>
      <w:r w:rsidRPr="00E97C49">
        <w:rPr>
          <w:rFonts w:ascii="Times New Roman" w:hAnsi="Times New Roman"/>
          <w:sz w:val="22"/>
          <w:szCs w:val="22"/>
        </w:rPr>
        <w:lastRenderedPageBreak/>
        <w:t xml:space="preserve">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Pr="00E97C49" w:rsidRDefault="00A97C23" w:rsidP="00A97C23">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A97C23" w:rsidRDefault="00A97C23" w:rsidP="00A97C23">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Pr="00E97C49" w:rsidRDefault="009F10EF" w:rsidP="002C4F0D">
      <w:pPr>
        <w:pStyle w:val="Heading1"/>
        <w:numPr>
          <w:ilvl w:val="0"/>
          <w:numId w:val="7"/>
        </w:numPr>
      </w:pPr>
      <w:bookmarkStart w:id="15" w:name="_Toc479641267"/>
      <w:bookmarkStart w:id="16" w:name="_Toc491682251"/>
      <w:r w:rsidRPr="00E97C49">
        <w:t>T</w:t>
      </w:r>
      <w:r w:rsidR="00DB0F2F" w:rsidRPr="00E97C49">
        <w:t>echnical</w:t>
      </w:r>
      <w:r w:rsidRPr="00E97C49">
        <w:t xml:space="preserve"> Background</w:t>
      </w:r>
      <w:bookmarkEnd w:id="15"/>
      <w:bookmarkEnd w:id="16"/>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FC0AD9"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043DF3">
            <w:rPr>
              <w:rFonts w:ascii="Times New Roman" w:hAnsi="Times New Roman"/>
              <w:noProof/>
              <w:color w:val="000000"/>
              <w:sz w:val="22"/>
              <w:szCs w:val="27"/>
              <w:shd w:val="clear" w:color="auto" w:fill="FFFFFF"/>
              <w:lang w:val="en-PH"/>
            </w:rPr>
            <w:t xml:space="preserve"> </w:t>
          </w:r>
          <w:r w:rsidR="00043DF3" w:rsidRPr="00043DF3">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 xml:space="preserve">are controlled learning models used for analyzing data and for its classification and regression analysis using sorting algorithms. </w:t>
      </w:r>
    </w:p>
    <w:p w:rsidR="00E97C49" w:rsidRDefault="001A684C" w:rsidP="00FC0AD9">
      <w:pPr>
        <w:spacing w:line="480" w:lineRule="auto"/>
        <w:ind w:firstLine="720"/>
        <w:jc w:val="both"/>
        <w:rPr>
          <w:rFonts w:ascii="Times New Roman" w:hAnsi="Times New Roman"/>
          <w:sz w:val="22"/>
          <w:szCs w:val="22"/>
        </w:rPr>
      </w:pPr>
      <w:r w:rsidRPr="00E97C49">
        <w:rPr>
          <w:rFonts w:ascii="Times New Roman" w:hAnsi="Times New Roman"/>
          <w:sz w:val="22"/>
          <w:szCs w:val="22"/>
        </w:rPr>
        <w:t>Support vector machines use its ability to create forecasts based of the given set of data (</w:t>
      </w:r>
      <w:r w:rsidRPr="00E97C49">
        <w:rPr>
          <w:rFonts w:ascii="Times New Roman" w:hAnsi="Times New Roman"/>
          <w:color w:val="333333"/>
          <w:sz w:val="22"/>
          <w:szCs w:val="22"/>
          <w:shd w:val="clear" w:color="auto" w:fill="FFFFFF"/>
        </w:rPr>
        <w:t>Ben-</w:t>
      </w:r>
      <w:proofErr w:type="spellStart"/>
      <w:r w:rsidRPr="00E97C49">
        <w:rPr>
          <w:rFonts w:ascii="Times New Roman" w:hAnsi="Times New Roman"/>
          <w:color w:val="333333"/>
          <w:sz w:val="22"/>
          <w:szCs w:val="22"/>
          <w:shd w:val="clear" w:color="auto" w:fill="FFFFFF"/>
        </w:rPr>
        <w:t>Hur</w:t>
      </w:r>
      <w:proofErr w:type="spellEnd"/>
      <w:r w:rsidRPr="00E97C49">
        <w:rPr>
          <w:rFonts w:ascii="Times New Roman" w:hAnsi="Times New Roman"/>
          <w:color w:val="333333"/>
          <w:sz w:val="22"/>
          <w:szCs w:val="22"/>
          <w:shd w:val="clear" w:color="auto" w:fill="FFFFFF"/>
        </w:rPr>
        <w:t xml:space="preserve">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168225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12" w:rsidRDefault="00F06012" w:rsidP="007E2BC3">
      <w:r>
        <w:separator/>
      </w:r>
    </w:p>
  </w:endnote>
  <w:endnote w:type="continuationSeparator" w:id="0">
    <w:p w:rsidR="00F06012" w:rsidRDefault="00F0601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6C6706">
          <w:rPr>
            <w:noProof/>
          </w:rPr>
          <w:t>11</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12" w:rsidRDefault="00F06012" w:rsidP="007E2BC3">
      <w:r>
        <w:separator/>
      </w:r>
    </w:p>
  </w:footnote>
  <w:footnote w:type="continuationSeparator" w:id="0">
    <w:p w:rsidR="00F06012" w:rsidRDefault="00F06012"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730D"/>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4F6121"/>
    <w:rsid w:val="0050259A"/>
    <w:rsid w:val="0050419C"/>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946BE"/>
    <w:rsid w:val="00C96BCF"/>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6A08"/>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9CF0278F-E4D3-4642-BAB3-E763E119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85</cp:revision>
  <dcterms:created xsi:type="dcterms:W3CDTF">2017-04-11T09:19:00Z</dcterms:created>
  <dcterms:modified xsi:type="dcterms:W3CDTF">2017-08-28T13:52:00Z</dcterms:modified>
</cp:coreProperties>
</file>