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ComptoxR:</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Retrieve</w:t>
      </w:r>
      <w:r>
        <w:t xml:space="preserve"> </w:t>
      </w:r>
      <w:r>
        <w:t xml:space="preserve">Compound</w:t>
      </w:r>
      <w:r>
        <w:t xml:space="preserve"> </w:t>
      </w:r>
      <w:r>
        <w:t xml:space="preserve">Information</w:t>
      </w:r>
      <w:r>
        <w:t xml:space="preserve"> </w:t>
      </w:r>
      <w:r>
        <w:t xml:space="preserve">from</w:t>
      </w:r>
      <w:r>
        <w:t xml:space="preserve"> </w:t>
      </w:r>
      <w:r>
        <w:t xml:space="preserve">US</w:t>
      </w:r>
      <w:r>
        <w:t xml:space="preserve"> </w:t>
      </w:r>
      <w:r>
        <w:t xml:space="preserve">EPA</w:t>
      </w:r>
      <w:r>
        <w:t xml:space="preserve"> </w:t>
      </w:r>
      <w:r>
        <w:t xml:space="preserve">Products</w:t>
      </w:r>
      <w:r>
        <w:t xml:space="preserve"> </w:t>
      </w:r>
      <w:r>
        <w:t xml:space="preserve">and</w:t>
      </w:r>
      <w:r>
        <w:t xml:space="preserve"> </w:t>
      </w:r>
      <w:r>
        <w:t xml:space="preserve">APIs</w:t>
      </w:r>
      <w:r>
        <w:t xml:space="preserve"> </w:t>
      </w:r>
      <w:r>
        <w:t xml:space="preserve">for</w:t>
      </w:r>
      <w:r>
        <w:t xml:space="preserve"> </w:t>
      </w:r>
      <w:r>
        <w:t xml:space="preserve">Rapid</w:t>
      </w:r>
      <w:r>
        <w:t xml:space="preserve"> </w:t>
      </w:r>
      <w:r>
        <w:t xml:space="preserve">Chemical</w:t>
      </w:r>
      <w:r>
        <w:t xml:space="preserve"> </w:t>
      </w:r>
      <w:r>
        <w:t xml:space="preserve">Hazard,</w:t>
      </w:r>
      <w:r>
        <w:t xml:space="preserve"> </w:t>
      </w:r>
      <w:r>
        <w:t xml:space="preserve">Risk,</w:t>
      </w:r>
      <w:r>
        <w:t xml:space="preserve"> </w:t>
      </w:r>
      <w:r>
        <w:t xml:space="preserve">Toxicological</w:t>
      </w:r>
      <w:r>
        <w:t xml:space="preserve"> </w:t>
      </w:r>
      <w:r>
        <w:t xml:space="preserve">Evaluation</w:t>
      </w:r>
      <w:r>
        <w:t xml:space="preserve"> </w:t>
      </w:r>
      <w:r>
        <w:t xml:space="preserve">and</w:t>
      </w:r>
      <w:r>
        <w:t xml:space="preserve"> </w:t>
      </w:r>
      <w:r>
        <w:t xml:space="preserve">Screening</w:t>
      </w:r>
    </w:p>
    <w:p>
      <w:pPr>
        <w:pStyle w:val="Author"/>
      </w:pPr>
      <w:r>
        <w:t xml:space="preserve">Sean</w:t>
      </w:r>
      <w:r>
        <w:t xml:space="preserve"> </w:t>
      </w:r>
      <w:r>
        <w:t xml:space="preserve">Thimons,</w:t>
      </w:r>
      <w:r>
        <w:t xml:space="preserve"> </w:t>
      </w:r>
      <w:r>
        <w:t xml:space="preserve">Antony</w:t>
      </w:r>
      <w:r>
        <w:t xml:space="preserve"> </w:t>
      </w:r>
      <w:r>
        <w:t xml:space="preserve">Williams</w:t>
      </w:r>
    </w:p>
    <w:bookmarkStart w:id="20" w:name="abstract"/>
    <w:p>
      <w:pPr>
        <w:pStyle w:val="Heading2"/>
      </w:pPr>
      <w:r>
        <w:t xml:space="preserve">Abstract</w:t>
      </w:r>
    </w:p>
    <w:p>
      <w:pPr>
        <w:pStyle w:val="FirstParagraph"/>
      </w:pPr>
      <w:r>
        <w:t xml:space="preserve">The CompTox Chemical Dashboard (CCD) has gone through several improvements over the past few years, including batch downloading and inclusion of larger data sets for user analysis. However, query times for the batch download process can be long for larger volumes of compound requests. Users can also selectively request data on a very granular basis through the website, but the requesting all of an endpoint (e.g.:</w:t>
      </w:r>
      <w:r>
        <w:t xml:space="preserve"> </w:t>
      </w:r>
      <w:r>
        <w:t xml:space="preserve">‘</w:t>
      </w:r>
      <w:r>
        <w:t xml:space="preserve">fate and transport</w:t>
      </w:r>
      <w:r>
        <w:t xml:space="preserve">’</w:t>
      </w:r>
      <w:r>
        <w:t xml:space="preserve"> </w:t>
      </w:r>
      <w:r>
        <w:t xml:space="preserve">data) for several compounds can be time-consuming.</w:t>
      </w:r>
      <w:r>
        <w:t xml:space="preserve"> </w:t>
      </w:r>
      <w:r>
        <w:rPr>
          <w:rStyle w:val="VerbatimChar"/>
        </w:rPr>
        <w:t xml:space="preserve">ComptoxR</w:t>
      </w:r>
      <w:r>
        <w:t xml:space="preserve"> </w:t>
      </w:r>
      <w:r>
        <w:t xml:space="preserve">aims to strike a balance between granular and comprehensive data harvesting.</w:t>
      </w:r>
    </w:p>
    <w:p>
      <w:pPr>
        <w:pStyle w:val="BodyText"/>
      </w:pPr>
      <w:r>
        <w:t xml:space="preserve">We developed the open-source R package</w:t>
      </w:r>
      <w:r>
        <w:t xml:space="preserve"> </w:t>
      </w:r>
      <w:r>
        <w:rPr>
          <w:rStyle w:val="VerbatimChar"/>
        </w:rPr>
        <w:t xml:space="preserve">ComptoxR</w:t>
      </w:r>
      <w:r>
        <w:t xml:space="preserve"> </w:t>
      </w:r>
      <w:r>
        <w:t xml:space="preserve">that allows users to automatically query the underlying databases that supports CCD and other products from USEPA, extract out the data into an R object, and perform several analyses on the query. We provide several useful functions for querying specific endpoints for compounds such as physio-chemical properties, model predictions from EPI Suite, ChemAxon, TEST, and OPERA QSAR models, hazard data. We also provide native R implementations of the Hazard Comparison and ToxPrint Chemotypes Exploring Chemical Feature Enrichments modules from USEPA’s Cheminformatics and GenRA (Generalized Read-Across) tools.</w:t>
      </w:r>
    </w:p>
    <w:p>
      <w:pPr>
        <w:pStyle w:val="BodyText"/>
      </w:pPr>
      <w:r>
        <w:rPr>
          <w:rStyle w:val="VerbatimChar"/>
        </w:rPr>
        <w:t xml:space="preserve">ComptoxR</w:t>
      </w:r>
      <w:r>
        <w:t xml:space="preserve"> </w:t>
      </w:r>
      <w:r>
        <w:t xml:space="preserve">follows the FAIR (findability, accessibility, interoperability, and reusability) principle for the data returned from queries, aiming to facilitate rapid chemical screening for hazard, risk, and toxicological characterization for a variety of end-users. Quality-control, curation level, and citation data is also generally available for compound queries, a feature not readily available in other packages.</w:t>
      </w:r>
    </w:p>
    <w:bookmarkEnd w:id="20"/>
    <w:bookmarkStart w:id="23" w:name="introduction"/>
    <w:p>
      <w:pPr>
        <w:pStyle w:val="Heading2"/>
      </w:pPr>
      <w:r>
        <w:t xml:space="preserve">Introduction</w:t>
      </w:r>
    </w:p>
    <w:bookmarkStart w:id="21" w:name="implementation-and-design-details"/>
    <w:p>
      <w:pPr>
        <w:pStyle w:val="Heading3"/>
      </w:pPr>
      <w:r>
        <w:t xml:space="preserve">Implementation and Design Details</w:t>
      </w:r>
    </w:p>
    <w:p>
      <w:pPr>
        <w:pStyle w:val="FirstParagraph"/>
      </w:pPr>
      <w:r>
        <w:rPr>
          <w:rStyle w:val="VerbatimChar"/>
        </w:rPr>
        <w:t xml:space="preserve">ComptoxR</w:t>
      </w:r>
      <w:r>
        <w:t xml:space="preserve"> </w:t>
      </w:r>
      <w:r>
        <w:t xml:space="preserve">is written in R and relies upon several packages to function effectively. Several other packages were used for operation speed or because they offered time-saving implementations. Functions are grouped by .R file bearing the same name. An associated documentation file is generated when building the package that an end-user can readily access, along with several vignettes detailing suggested use-cases.</w:t>
      </w:r>
    </w:p>
    <w:p>
      <w:pPr>
        <w:pStyle w:val="BodyText"/>
      </w:pPr>
      <w:r>
        <w:t xml:space="preserve">Most functions that work to retrieve data on a compound are also implemented in a</w:t>
      </w:r>
      <w:r>
        <w:t xml:space="preserve"> </w:t>
      </w:r>
      <w:r>
        <w:t xml:space="preserve">‘</w:t>
      </w:r>
      <w:r>
        <w:t xml:space="preserve">batch</w:t>
      </w:r>
      <w:r>
        <w:t xml:space="preserve">’</w:t>
      </w:r>
      <w:r>
        <w:t xml:space="preserve"> </w:t>
      </w:r>
      <w:r>
        <w:t xml:space="preserve">function to reduce query times. Lists of compounds that number over 200 will automatically be batched to accommodate API throughput limits and seamlessly assemble the data into a single dataframe object. Typically, any function will use a RESTful GET request for a single compound, and a POST request for everything else.</w:t>
      </w:r>
    </w:p>
    <w:p>
      <w:pPr>
        <w:pStyle w:val="BodyText"/>
      </w:pPr>
      <w:r>
        <w:t xml:space="preserve">When possible, the data returned is returned as-is from the API. We feel this an appropriate design choice as this reduces design debt that comes with software development and allows us to accommodate future additions or changes to our data sources. Some functions (e.g.:</w:t>
      </w:r>
      <w:r>
        <w:t xml:space="preserve"> </w:t>
      </w:r>
      <w:r>
        <w:rPr>
          <w:rStyle w:val="VerbatimChar"/>
        </w:rPr>
        <w:t xml:space="preserve">ct_details()</w:t>
      </w:r>
      <w:r>
        <w:t xml:space="preserve"> </w:t>
      </w:r>
      <w:r>
        <w:t xml:space="preserve">offer different subsets of data from the endpoint. Where this is an option, the default option is specified to the user, with optional arguments detailed in the appropriate help file.</w:t>
      </w:r>
    </w:p>
    <w:bookmarkEnd w:id="21"/>
    <w:bookmarkStart w:id="22" w:name="data-sources"/>
    <w:p>
      <w:pPr>
        <w:pStyle w:val="Heading3"/>
      </w:pPr>
      <w:r>
        <w:t xml:space="preserve">Data Sources</w:t>
      </w:r>
    </w:p>
    <w:p>
      <w:pPr>
        <w:pStyle w:val="FirstParagraph"/>
      </w:pPr>
      <w:r>
        <w:rPr>
          <w:rStyle w:val="VerbatimChar"/>
        </w:rPr>
        <w:t xml:space="preserve">ComptoxR</w:t>
      </w:r>
      <w:r>
        <w:t xml:space="preserve"> </w:t>
      </w:r>
      <w:r>
        <w:t xml:space="preserve">comes with several existing data sources packaged within for analysis and comparison purposes. Some are required, as they function as</w:t>
      </w:r>
      <w:r>
        <w:t xml:space="preserve"> </w:t>
      </w:r>
      <w:r>
        <w:t xml:space="preserve">“</w:t>
      </w:r>
      <w:r>
        <w:t xml:space="preserve">dictionary</w:t>
      </w:r>
      <w:r>
        <w:t xml:space="preserve">”</w:t>
      </w:r>
      <w:r>
        <w:t xml:space="preserve"> </w:t>
      </w:r>
      <w:r>
        <w:t xml:space="preserve">files for searching purposes, while others (i.e.:</w:t>
      </w:r>
      <w:r>
        <w:t xml:space="preserve"> </w:t>
      </w:r>
      <w:r>
        <w:rPr>
          <w:rStyle w:val="VerbatimChar"/>
        </w:rPr>
        <w:t xml:space="preserve">dtx_list</w:t>
      </w:r>
      <w:r>
        <w:t xml:space="preserve">) are examples that can be used to demonstrate abilities. There are four main API endpoints that</w:t>
      </w:r>
      <w:r>
        <w:t xml:space="preserve"> </w:t>
      </w:r>
      <w:r>
        <w:rPr>
          <w:rStyle w:val="VerbatimChar"/>
        </w:rPr>
        <w:t xml:space="preserve">ComptoxR</w:t>
      </w:r>
      <w:r>
        <w:t xml:space="preserve"> </w:t>
      </w:r>
      <w:r>
        <w:t xml:space="preserve">targets: three public-facing APIs from US EPA (CCD, GenRA, and CTS) and one for PubChem to retrieve Globally Harmonized System of Classification and Labeling of Chemicals (GHS) data through the</w:t>
      </w:r>
      <w:r>
        <w:t xml:space="preserve"> </w:t>
      </w:r>
      <w:r>
        <w:rPr>
          <w:rStyle w:val="VerbatimChar"/>
        </w:rPr>
        <w:t xml:space="preserve">webchem</w:t>
      </w:r>
      <w:r>
        <w:t xml:space="preserve"> </w:t>
      </w:r>
      <w:r>
        <w:t xml:space="preserve">package.</w:t>
      </w:r>
    </w:p>
    <w:bookmarkEnd w:id="22"/>
    <w:bookmarkEnd w:id="23"/>
    <w:bookmarkStart w:id="24" w:name="installation-and-initial-setup"/>
    <w:p>
      <w:pPr>
        <w:pStyle w:val="Heading2"/>
      </w:pPr>
      <w:r>
        <w:t xml:space="preserve">Installation and initial setup</w:t>
      </w:r>
    </w:p>
    <w:p>
      <w:pPr>
        <w:pStyle w:val="FirstParagraph"/>
      </w:pPr>
      <w:r>
        <w:t xml:space="preserve">The CCD API requires an API token for authentication. After requesting one, create an environmental variable as detailed below. A user can test if their key is present by running the</w:t>
      </w:r>
      <w:r>
        <w:t xml:space="preserve"> </w:t>
      </w:r>
      <w:r>
        <w:rPr>
          <w:rStyle w:val="VerbatimChar"/>
        </w:rPr>
        <w:t xml:space="preserve">ct_api_key()</w:t>
      </w:r>
      <w:r>
        <w:t xml:space="preserve"> </w:t>
      </w:r>
      <w:r>
        <w:t xml:space="preserve">function. A restart of the R session may be needed. Upon loading the package, a user must set the server pathway using the</w:t>
      </w:r>
      <w:r>
        <w:t xml:space="preserve"> </w:t>
      </w:r>
      <w:r>
        <w:rPr>
          <w:rStyle w:val="VerbatimChar"/>
        </w:rPr>
        <w:t xml:space="preserve">comptox_server()</w:t>
      </w:r>
      <w:r>
        <w:t xml:space="preserve"> </w:t>
      </w:r>
      <w:r>
        <w:t xml:space="preserve">function. This is designed to accomodate upstream shifts in server URLS, or allow access to private servers when available. When running the function, the base URL of the request will be output to the console.</w:t>
      </w:r>
    </w:p>
    <w:p>
      <w:pPr>
        <w:pStyle w:val="SourceCode"/>
      </w:pPr>
      <w:r>
        <w:rPr>
          <w:rStyle w:val="FunctionTok"/>
        </w:rPr>
        <w:t xml:space="preserve">library</w:t>
      </w:r>
      <w:r>
        <w:rPr>
          <w:rStyle w:val="NormalTok"/>
        </w:rPr>
        <w:t xml:space="preserve">(ComptoxR)</w:t>
      </w:r>
      <w:r>
        <w:br/>
      </w:r>
      <w:r>
        <w:br/>
      </w:r>
      <w:r>
        <w:rPr>
          <w:rStyle w:val="CommentTok"/>
        </w:rPr>
        <w:t xml:space="preserve">#Sys.setenv('ccte_api_key' = [TOKEN HERE])</w:t>
      </w:r>
      <w:r>
        <w:br/>
      </w:r>
      <w:r>
        <w:br/>
      </w:r>
      <w:r>
        <w:rPr>
          <w:rStyle w:val="FunctionTok"/>
        </w:rPr>
        <w:t xml:space="preserve">ct_api_key</w:t>
      </w:r>
      <w:r>
        <w:rPr>
          <w:rStyle w:val="NormalTok"/>
        </w:rPr>
        <w:t xml:space="preserve">()</w:t>
      </w:r>
      <w:r>
        <w:br/>
      </w:r>
      <w:r>
        <w:br/>
      </w:r>
      <w:r>
        <w:rPr>
          <w:rStyle w:val="FunctionTok"/>
        </w:rPr>
        <w:t xml:space="preserve">comptox_server</w:t>
      </w:r>
      <w:r>
        <w:rPr>
          <w:rStyle w:val="NormalTok"/>
        </w:rPr>
        <w:t xml:space="preserve">()</w:t>
      </w:r>
    </w:p>
    <w:bookmarkEnd w:id="24"/>
    <w:bookmarkStart w:id="56" w:name="use-cases"/>
    <w:p>
      <w:pPr>
        <w:pStyle w:val="Heading2"/>
      </w:pPr>
      <w:r>
        <w:t xml:space="preserve">Use cases</w:t>
      </w:r>
    </w:p>
    <w:bookmarkStart w:id="25" w:name="Xc8555dbd2dd3c9930c79042d75978e98fe6a020"/>
    <w:p>
      <w:pPr>
        <w:pStyle w:val="Heading3"/>
      </w:pPr>
      <w:r>
        <w:t xml:space="preserve">Querying names, supported identifiers, and details of compounds</w:t>
      </w:r>
    </w:p>
    <w:p>
      <w:pPr>
        <w:pStyle w:val="FirstParagraph"/>
      </w:pPr>
      <w:r>
        <w:t xml:space="preserve">Often, a user needs to find a particular compound, but may only have a portion of a name or is using an identifier such as a CAS-RN or InChIKey string. The</w:t>
      </w:r>
      <w:r>
        <w:t xml:space="preserve"> </w:t>
      </w:r>
      <w:r>
        <w:rPr>
          <w:rStyle w:val="VerbatimChar"/>
        </w:rPr>
        <w:t xml:space="preserve">ct_name()</w:t>
      </w:r>
      <w:r>
        <w:t xml:space="preserve"> </w:t>
      </w:r>
      <w:r>
        <w:t xml:space="preserve">function provides several ways to search for compounds for their preferred name and DTXSID. Three search parameters (</w:t>
      </w:r>
      <w:r>
        <w:rPr>
          <w:rStyle w:val="VerbatimChar"/>
        </w:rPr>
        <w:t xml:space="preserve">starts-with</w:t>
      </w:r>
      <w:r>
        <w:t xml:space="preserve">,</w:t>
      </w:r>
      <w:r>
        <w:t xml:space="preserve"> </w:t>
      </w:r>
      <w:r>
        <w:rPr>
          <w:rStyle w:val="VerbatimChar"/>
        </w:rPr>
        <w:t xml:space="preserve">equals</w:t>
      </w:r>
      <w:r>
        <w:t xml:space="preserve">,</w:t>
      </w:r>
      <w:r>
        <w:t xml:space="preserve"> </w:t>
      </w:r>
      <w:r>
        <w:rPr>
          <w:rStyle w:val="VerbatimChar"/>
        </w:rPr>
        <w:t xml:space="preserve">substring</w:t>
      </w:r>
      <w:r>
        <w:t xml:space="preserve">) offer different ways of searching for compounds.</w:t>
      </w:r>
    </w:p>
    <w:p>
      <w:pPr>
        <w:pStyle w:val="SourceCode"/>
      </w:pPr>
      <w:r>
        <w:rPr>
          <w:rStyle w:val="CommentTok"/>
        </w:rPr>
        <w:t xml:space="preserve">#String search</w:t>
      </w:r>
      <w:r>
        <w:br/>
      </w:r>
      <w:r>
        <w:rPr>
          <w:rStyle w:val="FunctionTok"/>
        </w:rPr>
        <w:t xml:space="preserve">ct_name</w:t>
      </w:r>
      <w:r>
        <w:rPr>
          <w:rStyle w:val="NormalTok"/>
        </w:rPr>
        <w:t xml:space="preserve">(</w:t>
      </w:r>
      <w:r>
        <w:rPr>
          <w:rStyle w:val="StringTok"/>
        </w:rPr>
        <w:t xml:space="preserve">'atraz'</w:t>
      </w:r>
      <w:r>
        <w:rPr>
          <w:rStyle w:val="NormalTok"/>
        </w:rPr>
        <w:t xml:space="preserve">, </w:t>
      </w:r>
      <w:r>
        <w:rPr>
          <w:rStyle w:val="AttributeTok"/>
        </w:rPr>
        <w:t xml:space="preserve">param =</w:t>
      </w:r>
      <w:r>
        <w:rPr>
          <w:rStyle w:val="NormalTok"/>
        </w:rPr>
        <w:t xml:space="preserve"> </w:t>
      </w:r>
      <w:r>
        <w:rPr>
          <w:rStyle w:val="StringTok"/>
        </w:rPr>
        <w:t xml:space="preserve">'start-with'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(searchName, rank, preferredName)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br/>
      </w:r>
      <w:r>
        <w:rPr>
          <w:rStyle w:val="VerbatimChar"/>
        </w:rPr>
        <w:t xml:space="preserve">Parameter(s) declared: start-with</w:t>
      </w:r>
      <w:r>
        <w:br/>
      </w:r>
      <w:r>
        <w:rPr>
          <w:rStyle w:val="VerbatimChar"/>
        </w:rPr>
        <w:t xml:space="preserve">Requesting valid names by provided search parameters....</w:t>
      </w:r>
    </w:p>
    <w:p>
      <w:pPr>
        <w:pStyle w:val="SourceCode"/>
      </w:pPr>
      <w:r>
        <w:rPr>
          <w:rStyle w:val="VerbatimChar"/>
        </w:rPr>
        <w:t xml:space="preserve"># A tibble: 10 x 3</w:t>
      </w:r>
      <w:r>
        <w:br/>
      </w:r>
      <w:r>
        <w:rPr>
          <w:rStyle w:val="VerbatimChar"/>
        </w:rPr>
        <w:t xml:space="preserve">   searchName     rank preferredName                          </w:t>
      </w:r>
      <w:r>
        <w:br/>
      </w:r>
      <w:r>
        <w:rPr>
          <w:rStyle w:val="VerbatimChar"/>
        </w:rPr>
        <w:t xml:space="preserve">   &lt;chr&gt;         &lt;int&gt; &lt;chr&gt;                                  </w:t>
      </w:r>
      <w:r>
        <w:br/>
      </w:r>
      <w:r>
        <w:rPr>
          <w:rStyle w:val="VerbatimChar"/>
        </w:rPr>
        <w:t xml:space="preserve"> 1 Approved Name     9 Atrazine                               </w:t>
      </w:r>
      <w:r>
        <w:br/>
      </w:r>
      <w:r>
        <w:rPr>
          <w:rStyle w:val="VerbatimChar"/>
        </w:rPr>
        <w:t xml:space="preserve"> 2 Approved Name     9 Atrazine-2-Ethoxy                      </w:t>
      </w:r>
      <w:r>
        <w:br/>
      </w:r>
      <w:r>
        <w:rPr>
          <w:rStyle w:val="VerbatimChar"/>
        </w:rPr>
        <w:t xml:space="preserve"> 3 Approved Name     9 Atrazine-acetochlor mixt.              </w:t>
      </w:r>
      <w:r>
        <w:br/>
      </w:r>
      <w:r>
        <w:rPr>
          <w:rStyle w:val="VerbatimChar"/>
        </w:rPr>
        <w:t xml:space="preserve"> 4 Approved Name     9 Atrazine-d5                            </w:t>
      </w:r>
      <w:r>
        <w:br/>
      </w:r>
      <w:r>
        <w:rPr>
          <w:rStyle w:val="VerbatimChar"/>
        </w:rPr>
        <w:t xml:space="preserve"> 5 Approved Name     9 Atrazine mercapturate                  </w:t>
      </w:r>
      <w:r>
        <w:br/>
      </w:r>
      <w:r>
        <w:rPr>
          <w:rStyle w:val="VerbatimChar"/>
        </w:rPr>
        <w:t xml:space="preserve"> 6 Approved Name     9 Atrazine-mesotrione-S-metolachlor mixt.</w:t>
      </w:r>
      <w:r>
        <w:br/>
      </w:r>
      <w:r>
        <w:rPr>
          <w:rStyle w:val="VerbatimChar"/>
        </w:rPr>
        <w:t xml:space="preserve"> 7 Approved Name     9 Atrazine mixture with butylate         </w:t>
      </w:r>
      <w:r>
        <w:br/>
      </w:r>
      <w:r>
        <w:rPr>
          <w:rStyle w:val="VerbatimChar"/>
        </w:rPr>
        <w:t xml:space="preserve"> 8 Approved Name     9 Atrazine mixture with metolachlor (1:1)</w:t>
      </w:r>
      <w:r>
        <w:br/>
      </w:r>
      <w:r>
        <w:rPr>
          <w:rStyle w:val="VerbatimChar"/>
        </w:rPr>
        <w:t xml:space="preserve"> 9 Approved Name     9 Atrazine mixture with pendimethalin    </w:t>
      </w:r>
      <w:r>
        <w:br/>
      </w:r>
      <w:r>
        <w:rPr>
          <w:rStyle w:val="VerbatimChar"/>
        </w:rPr>
        <w:t xml:space="preserve">10 Approved Name     9 Atrazine mixture with terbutryn        </w:t>
      </w:r>
    </w:p>
    <w:p>
      <w:pPr>
        <w:pStyle w:val="SourceCode"/>
      </w:pPr>
      <w:r>
        <w:rPr>
          <w:rStyle w:val="CommentTok"/>
        </w:rPr>
        <w:t xml:space="preserve">#InChlKey search</w:t>
      </w:r>
      <w:r>
        <w:br/>
      </w:r>
      <w:r>
        <w:rPr>
          <w:rStyle w:val="FunctionTok"/>
        </w:rPr>
        <w:t xml:space="preserve">ct_name</w:t>
      </w:r>
      <w:r>
        <w:rPr>
          <w:rStyle w:val="NormalTok"/>
        </w:rPr>
        <w:t xml:space="preserve">(</w:t>
      </w:r>
      <w:r>
        <w:rPr>
          <w:rStyle w:val="StringTok"/>
        </w:rPr>
        <w:t xml:space="preserve">'MXWJVTOOROXGIU'</w:t>
      </w:r>
      <w:r>
        <w:rPr>
          <w:rStyle w:val="NormalTok"/>
        </w:rPr>
        <w:t xml:space="preserve">, </w:t>
      </w:r>
      <w:r>
        <w:rPr>
          <w:rStyle w:val="AttributeTok"/>
        </w:rPr>
        <w:t xml:space="preserve">param =</w:t>
      </w:r>
      <w:r>
        <w:rPr>
          <w:rStyle w:val="NormalTok"/>
        </w:rPr>
        <w:t xml:space="preserve"> </w:t>
      </w:r>
      <w:r>
        <w:rPr>
          <w:rStyle w:val="StringTok"/>
        </w:rPr>
        <w:t xml:space="preserve">'start-with'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(searchValue, rank, preferredName)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br/>
      </w:r>
      <w:r>
        <w:rPr>
          <w:rStyle w:val="VerbatimChar"/>
        </w:rPr>
        <w:t xml:space="preserve">Parameter(s) declared: start-with</w:t>
      </w:r>
      <w:r>
        <w:br/>
      </w:r>
      <w:r>
        <w:rPr>
          <w:rStyle w:val="VerbatimChar"/>
        </w:rPr>
        <w:t xml:space="preserve">Requesting valid names by provided search parameters....</w:t>
      </w:r>
    </w:p>
    <w:p>
      <w:pPr>
        <w:pStyle w:val="SourceCode"/>
      </w:pPr>
      <w:r>
        <w:rPr>
          <w:rStyle w:val="VerbatimChar"/>
        </w:rPr>
        <w:t xml:space="preserve"># A tibble: 6 x 3</w:t>
      </w:r>
      <w:r>
        <w:br/>
      </w:r>
      <w:r>
        <w:rPr>
          <w:rStyle w:val="VerbatimChar"/>
        </w:rPr>
        <w:t xml:space="preserve">  searchValue                  rank preferredName                               </w:t>
      </w:r>
      <w:r>
        <w:br/>
      </w:r>
      <w:r>
        <w:rPr>
          <w:rStyle w:val="VerbatimChar"/>
        </w:rPr>
        <w:t xml:space="preserve">  &lt;chr&gt;                       &lt;int&gt; &lt;chr&gt;                                       </w:t>
      </w:r>
      <w:r>
        <w:br/>
      </w:r>
      <w:r>
        <w:rPr>
          <w:rStyle w:val="VerbatimChar"/>
        </w:rPr>
        <w:t xml:space="preserve">1 MXWJVTOOROXGIU-DETAZLGJSA-N    13 6-Chloro-N~2~-ethyl-N~4~-(propan-2-yl)-1,3,~</w:t>
      </w:r>
      <w:r>
        <w:br/>
      </w:r>
      <w:r>
        <w:rPr>
          <w:rStyle w:val="VerbatimChar"/>
        </w:rPr>
        <w:t xml:space="preserve">2 MXWJVTOOROXGIU-NTDPGYSYSA-N    13 Atrazine-ring-UL-14C                        </w:t>
      </w:r>
      <w:r>
        <w:br/>
      </w:r>
      <w:r>
        <w:rPr>
          <w:rStyle w:val="VerbatimChar"/>
        </w:rPr>
        <w:t xml:space="preserve">3 MXWJVTOOROXGIU-SGEUAGPISA-N    13 Atrazine-d5                                 </w:t>
      </w:r>
      <w:r>
        <w:br/>
      </w:r>
      <w:r>
        <w:rPr>
          <w:rStyle w:val="VerbatimChar"/>
        </w:rPr>
        <w:t xml:space="preserve">4 MXWJVTOOROXGIU-TTXLGWKISA-N    13 6-chloro-N2-ethyl-N4-(propan-2-yl)(13C3)-1,~</w:t>
      </w:r>
      <w:r>
        <w:br/>
      </w:r>
      <w:r>
        <w:rPr>
          <w:rStyle w:val="VerbatimChar"/>
        </w:rPr>
        <w:t xml:space="preserve">5 MXWJVTOOROXGIU-UHFFFAOYSA-N    13 Atrazine                                    </w:t>
      </w:r>
      <w:r>
        <w:br/>
      </w:r>
      <w:r>
        <w:rPr>
          <w:rStyle w:val="VerbatimChar"/>
        </w:rPr>
        <w:t xml:space="preserve">6 MXWJVTOOROXGIU-ZSJDYOACSA-N    13 6-Chloro-N~2~-ethyl-N~4~-(propan-2-yl)-1,3,~</w:t>
      </w:r>
    </w:p>
    <w:p>
      <w:pPr>
        <w:pStyle w:val="SourceCode"/>
      </w:pPr>
      <w:r>
        <w:rPr>
          <w:rStyle w:val="CommentTok"/>
        </w:rPr>
        <w:t xml:space="preserve">#CAS_RN search</w:t>
      </w:r>
      <w:r>
        <w:br/>
      </w:r>
      <w:r>
        <w:rPr>
          <w:rStyle w:val="FunctionTok"/>
        </w:rPr>
        <w:t xml:space="preserve">ct_name</w:t>
      </w:r>
      <w:r>
        <w:rPr>
          <w:rStyle w:val="NormalTok"/>
        </w:rPr>
        <w:t xml:space="preserve">(</w:t>
      </w:r>
      <w:r>
        <w:rPr>
          <w:rStyle w:val="StringTok"/>
        </w:rPr>
        <w:t xml:space="preserve">'1912-24'</w:t>
      </w:r>
      <w:r>
        <w:rPr>
          <w:rStyle w:val="NormalTok"/>
        </w:rPr>
        <w:t xml:space="preserve">, </w:t>
      </w:r>
      <w:r>
        <w:rPr>
          <w:rStyle w:val="AttributeTok"/>
        </w:rPr>
        <w:t xml:space="preserve">param =</w:t>
      </w:r>
      <w:r>
        <w:rPr>
          <w:rStyle w:val="NormalTok"/>
        </w:rPr>
        <w:t xml:space="preserve"> </w:t>
      </w:r>
      <w:r>
        <w:rPr>
          <w:rStyle w:val="StringTok"/>
        </w:rPr>
        <w:t xml:space="preserve">'contain'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(searchValue, preferredName, casrn)</w:t>
      </w:r>
    </w:p>
    <w:p>
      <w:pPr>
        <w:pStyle w:val="SourceCode"/>
      </w:pPr>
      <w:r>
        <w:br/>
      </w:r>
      <w:r>
        <w:rPr>
          <w:rStyle w:val="VerbatimChar"/>
        </w:rPr>
        <w:t xml:space="preserve">Parameter(s) declared: contain</w:t>
      </w:r>
      <w:r>
        <w:br/>
      </w:r>
      <w:r>
        <w:rPr>
          <w:rStyle w:val="VerbatimChar"/>
        </w:rPr>
        <w:t xml:space="preserve">Requesting valid names by provided search parameters....</w:t>
      </w:r>
    </w:p>
    <w:p>
      <w:pPr>
        <w:pStyle w:val="SourceCode"/>
      </w:pPr>
      <w:r>
        <w:rPr>
          <w:rStyle w:val="VerbatimChar"/>
        </w:rPr>
        <w:t xml:space="preserve"># A tibble: 5 x 3</w:t>
      </w:r>
      <w:r>
        <w:br/>
      </w:r>
      <w:r>
        <w:rPr>
          <w:rStyle w:val="VerbatimChar"/>
        </w:rPr>
        <w:t xml:space="preserve">  searchValue  preferredName                                               casrn</w:t>
      </w:r>
      <w:r>
        <w:br/>
      </w:r>
      <w:r>
        <w:rPr>
          <w:rStyle w:val="VerbatimChar"/>
        </w:rPr>
        <w:t xml:space="preserve">  &lt;chr&gt;        &lt;chr&gt;                                                       &lt;chr&gt;</w:t>
      </w:r>
      <w:r>
        <w:br/>
      </w:r>
      <w:r>
        <w:rPr>
          <w:rStyle w:val="VerbatimChar"/>
        </w:rPr>
        <w:t xml:space="preserve">1 121912-24-1  5-(Perfluoroheptyl)pentanamine hydrochloride (1:1)          1219~</w:t>
      </w:r>
      <w:r>
        <w:br/>
      </w:r>
      <w:r>
        <w:rPr>
          <w:rStyle w:val="VerbatimChar"/>
        </w:rPr>
        <w:t xml:space="preserve">2 21912-24-3   5-(2-Chloroethanesulfonyl)bicyclo[2.2.1]heptane-2-carbonyl~ 2191~</w:t>
      </w:r>
      <w:r>
        <w:br/>
      </w:r>
      <w:r>
        <w:rPr>
          <w:rStyle w:val="VerbatimChar"/>
        </w:rPr>
        <w:t xml:space="preserve">3 321912-24-7  ß-Alanine, N-[5-[[4-chloro-6-[[8-hydroxy-3,6-disulfo-7-[2-~ 3219~</w:t>
      </w:r>
      <w:r>
        <w:br/>
      </w:r>
      <w:r>
        <w:rPr>
          <w:rStyle w:val="VerbatimChar"/>
        </w:rPr>
        <w:t xml:space="preserve">4 1261912-24-6 6-(5-Formylthiophen-2-yl)pyridine-3-carboxylic acid         1261~</w:t>
      </w:r>
      <w:r>
        <w:br/>
      </w:r>
      <w:r>
        <w:rPr>
          <w:rStyle w:val="VerbatimChar"/>
        </w:rPr>
        <w:t xml:space="preserve">5 1912-24-9    Atrazine                                                    1912~</w:t>
      </w:r>
    </w:p>
    <w:p>
      <w:pPr>
        <w:pStyle w:val="FirstParagraph"/>
      </w:pPr>
      <w:r>
        <w:t xml:space="preserve">Additionally, a function to return all verified synonyms of a given compound is available. A user may find this useful, as old CAS-RNs, product names, or variations on proper names can be returned.</w:t>
      </w:r>
    </w:p>
    <w:p>
      <w:pPr>
        <w:pStyle w:val="SourceCode"/>
      </w:pPr>
      <w:r>
        <w:rPr>
          <w:rStyle w:val="FunctionTok"/>
        </w:rPr>
        <w:t xml:space="preserve">ct_synonym</w:t>
      </w:r>
      <w:r>
        <w:rPr>
          <w:rStyle w:val="NormalTok"/>
        </w:rPr>
        <w:t xml:space="preserve">(</w:t>
      </w:r>
      <w:r>
        <w:rPr>
          <w:rStyle w:val="AttributeTok"/>
        </w:rPr>
        <w:t xml:space="preserve">query =</w:t>
      </w:r>
      <w:r>
        <w:rPr>
          <w:rStyle w:val="NormalTok"/>
        </w:rPr>
        <w:t xml:space="preserve"> </w:t>
      </w:r>
      <w:r>
        <w:rPr>
          <w:rStyle w:val="StringTok"/>
        </w:rPr>
        <w:t xml:space="preserve">'DTXSID7020182'</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Searching for compound synonym....</w:t>
      </w:r>
    </w:p>
    <w:p>
      <w:pPr>
        <w:pStyle w:val="SourceCode"/>
      </w:pPr>
      <w:r>
        <w:rPr>
          <w:rStyle w:val="VerbatimChar"/>
        </w:rPr>
        <w:t xml:space="preserve">          dtxsid                                 value    search rank</w:t>
      </w:r>
      <w:r>
        <w:br/>
      </w:r>
      <w:r>
        <w:rPr>
          <w:rStyle w:val="VerbatimChar"/>
        </w:rPr>
        <w:t xml:space="preserve">1  DTXSID7020182         4,4’-Propane-2,2-diyldiphenol     valid    1</w:t>
      </w:r>
      <w:r>
        <w:br/>
      </w:r>
      <w:r>
        <w:rPr>
          <w:rStyle w:val="VerbatimChar"/>
        </w:rPr>
        <w:t xml:space="preserve">2  DTXSID7020182                            Bisfenol A     valid    1</w:t>
      </w:r>
      <w:r>
        <w:br/>
      </w:r>
      <w:r>
        <w:rPr>
          <w:rStyle w:val="VerbatimChar"/>
        </w:rPr>
        <w:t xml:space="preserve">3  DTXSID7020182                                   BPA     valid    1</w:t>
      </w:r>
      <w:r>
        <w:br/>
      </w:r>
      <w:r>
        <w:rPr>
          <w:rStyle w:val="VerbatimChar"/>
        </w:rPr>
        <w:t xml:space="preserve">4  DTXSID7020182                     EC No.: 201-245-8     valid    1</w:t>
      </w:r>
      <w:r>
        <w:br/>
      </w:r>
      <w:r>
        <w:rPr>
          <w:rStyle w:val="VerbatimChar"/>
        </w:rPr>
        <w:t xml:space="preserve">5  DTXSID7020182                               80-05-7     valid    1</w:t>
      </w:r>
      <w:r>
        <w:br/>
      </w:r>
      <w:r>
        <w:rPr>
          <w:rStyle w:val="VerbatimChar"/>
        </w:rPr>
        <w:t xml:space="preserve">6  DTXSID7020182       4,4'-(Propane-2,2-diyl)diphenol     valid    1</w:t>
      </w:r>
      <w:r>
        <w:br/>
      </w:r>
      <w:r>
        <w:rPr>
          <w:rStyle w:val="VerbatimChar"/>
        </w:rPr>
        <w:t xml:space="preserve">7  DTXSID7020182 Phenol, 4,4'-(1-methylethylidene)bis-     valid    1</w:t>
      </w:r>
      <w:r>
        <w:br/>
      </w:r>
      <w:r>
        <w:rPr>
          <w:rStyle w:val="VerbatimChar"/>
        </w:rPr>
        <w:t xml:space="preserve">8  DTXSID7020182                           Bisphenol A     valid    1</w:t>
      </w:r>
      <w:r>
        <w:br/>
      </w:r>
      <w:r>
        <w:rPr>
          <w:rStyle w:val="VerbatimChar"/>
        </w:rPr>
        <w:t xml:space="preserve">9  DTXSID7020182                         DTXSID7020182      good    2</w:t>
      </w:r>
      <w:r>
        <w:br/>
      </w:r>
      <w:r>
        <w:rPr>
          <w:rStyle w:val="VerbatimChar"/>
        </w:rPr>
        <w:t xml:space="preserve">10 DTXSID7020182                           Bisphenol-A del_casrn    3</w:t>
      </w:r>
    </w:p>
    <w:p>
      <w:pPr>
        <w:pStyle w:val="FirstParagraph"/>
      </w:pPr>
      <w:r>
        <w:t xml:space="preserve">After a compound’s DTXSID has been located, a user may want to inquire on various details for the compound. The</w:t>
      </w:r>
      <w:r>
        <w:t xml:space="preserve"> </w:t>
      </w:r>
      <w:r>
        <w:rPr>
          <w:rStyle w:val="VerbatimChar"/>
        </w:rPr>
        <w:t xml:space="preserve">ct_details()</w:t>
      </w:r>
      <w:r>
        <w:t xml:space="preserve"> </w:t>
      </w:r>
      <w:r>
        <w:t xml:space="preserve">function provides an executive summary of a compound, with over sixty variables being available. Here, a user can easily ascertain important details about the compound in question, ranging from the quality of curation about a compound, the number of active assays in the ToxCast assay program, to knowing the monoisotopic mass, molecular formula or SMILES string.</w:t>
      </w:r>
    </w:p>
    <w:bookmarkEnd w:id="25"/>
    <w:bookmarkStart w:id="28" w:name="Xd47690fa8df26e42f15af23454bcb3ef45303e3"/>
    <w:p>
      <w:pPr>
        <w:pStyle w:val="Heading3"/>
      </w:pPr>
      <w:r>
        <w:t xml:space="preserve">Querying for physio-chemical properties and environmental fate/ transport data</w:t>
      </w:r>
    </w:p>
    <w:p>
      <w:pPr>
        <w:pStyle w:val="FirstParagraph"/>
      </w:pPr>
      <w:r>
        <w:t xml:space="preserve">A common, initial step for hazard identification is screening by physio-chemical properties or potential longevity within a given environment. The function</w:t>
      </w:r>
      <w:r>
        <w:t xml:space="preserve"> </w:t>
      </w:r>
      <w:r>
        <w:rPr>
          <w:rStyle w:val="VerbatimChar"/>
        </w:rPr>
        <w:t xml:space="preserve">ct_prop()</w:t>
      </w:r>
      <w:r>
        <w:t xml:space="preserve"> </w:t>
      </w:r>
      <w:r>
        <w:t xml:space="preserve">returns both experimental and predictive physical-chemical properties, with accompanying source documentation. Users can then filter or subset the data as appropriate.</w:t>
      </w:r>
    </w:p>
    <w:p>
      <w:pPr>
        <w:pStyle w:val="SourceCode"/>
      </w:pPr>
      <w:r>
        <w:rPr>
          <w:rStyle w:val="VerbatimChar"/>
        </w:rPr>
        <w:t xml:space="preserve">Searching for compound details....</w:t>
      </w:r>
    </w:p>
    <w:bookmarkStart w:id="26" w:name="tbl-prop_search"/>
    <w:p>
      <w:pPr>
        <w:pStyle w:val="TableCaption"/>
      </w:pPr>
      <w:r>
        <w:t xml:space="preserve">Table 1: Physio-chemical Properties for Perfluorooctanoic acid</w:t>
      </w:r>
    </w:p>
    <w:tbl>
      <w:tblPr>
        <w:tblStyle w:val="Table"/>
        <w:tblW w:type="auto" w:w="0"/>
        <w:tblLook w:firstRow="1" w:lastRow="0" w:firstColumn="0" w:lastColumn="0" w:noHBand="0" w:noVBand="0" w:val="0020"/>
        <w:jc w:val="start"/>
        <w:tblCaption w:val="Table 1: Physio-chemical Properties for Perfluorooctanoic acid"/>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unit</w:t>
            </w:r>
          </w:p>
        </w:tc>
        <w:tc>
          <w:tcPr/>
          <w:p>
            <w:pPr>
              <w:pStyle w:val="Compact"/>
              <w:jc w:val="right"/>
            </w:pPr>
            <w:r>
              <w:t xml:space="preserve">experimental</w:t>
            </w:r>
          </w:p>
        </w:tc>
        <w:tc>
          <w:tcPr/>
          <w:p>
            <w:pPr>
              <w:pStyle w:val="Compact"/>
              <w:jc w:val="right"/>
            </w:pPr>
            <w:r>
              <w:t xml:space="preserve">predicted</w:t>
            </w:r>
          </w:p>
        </w:tc>
      </w:tr>
      <w:tr>
        <w:tc>
          <w:tcPr/>
          <w:p>
            <w:pPr>
              <w:pStyle w:val="Compact"/>
              <w:jc w:val="left"/>
            </w:pPr>
            <w:r>
              <w:t xml:space="preserve">Boiling Point</w:t>
            </w:r>
          </w:p>
        </w:tc>
        <w:tc>
          <w:tcPr/>
          <w:p>
            <w:pPr>
              <w:pStyle w:val="Compact"/>
              <w:jc w:val="left"/>
            </w:pPr>
            <w:r>
              <w:t xml:space="preserve">°C</w:t>
            </w:r>
          </w:p>
        </w:tc>
        <w:tc>
          <w:tcPr/>
          <w:p>
            <w:pPr>
              <w:pStyle w:val="Compact"/>
              <w:jc w:val="right"/>
            </w:pPr>
            <w:r>
              <w:t xml:space="preserve">190.200</w:t>
            </w:r>
          </w:p>
        </w:tc>
        <w:tc>
          <w:tcPr/>
          <w:p>
            <w:pPr>
              <w:pStyle w:val="Compact"/>
              <w:jc w:val="right"/>
            </w:pPr>
            <w:r>
              <w:t xml:space="preserve">193.251</w:t>
            </w:r>
          </w:p>
        </w:tc>
      </w:tr>
      <w:tr>
        <w:tc>
          <w:tcPr/>
          <w:p>
            <w:pPr>
              <w:pStyle w:val="Compact"/>
              <w:jc w:val="left"/>
            </w:pPr>
            <w:r>
              <w:t xml:space="preserve">Density</w:t>
            </w:r>
          </w:p>
        </w:tc>
        <w:tc>
          <w:tcPr/>
          <w:p>
            <w:pPr>
              <w:pStyle w:val="Compact"/>
              <w:jc w:val="left"/>
            </w:pPr>
            <w:r>
              <w:t xml:space="preserve">g/cm^3</w:t>
            </w:r>
          </w:p>
        </w:tc>
        <w:tc>
          <w:tcPr/>
          <w:p>
            <w:pPr>
              <w:pStyle w:val="Compact"/>
              <w:jc w:val="right"/>
            </w:pPr>
            <w:r>
              <w:t xml:space="preserve">1.800</w:t>
            </w:r>
          </w:p>
        </w:tc>
        <w:tc>
          <w:tcPr/>
          <w:p>
            <w:pPr>
              <w:pStyle w:val="Compact"/>
              <w:jc w:val="right"/>
            </w:pPr>
            <w:r>
              <w:t xml:space="preserve">1.724</w:t>
            </w:r>
          </w:p>
        </w:tc>
      </w:tr>
      <w:tr>
        <w:tc>
          <w:tcPr/>
          <w:p>
            <w:pPr>
              <w:pStyle w:val="Compact"/>
              <w:jc w:val="left"/>
            </w:pPr>
            <w:r>
              <w:t xml:space="preserve">Flash Point</w:t>
            </w:r>
          </w:p>
        </w:tc>
        <w:tc>
          <w:tcPr/>
          <w:p>
            <w:pPr>
              <w:pStyle w:val="Compact"/>
              <w:jc w:val="left"/>
            </w:pPr>
            <w:r>
              <w:t xml:space="preserve">°C</w:t>
            </w:r>
          </w:p>
        </w:tc>
        <w:tc>
          <w:tcPr/>
          <w:p>
            <w:pPr>
              <w:pStyle w:val="Compact"/>
              <w:jc w:val="right"/>
            </w:pPr>
            <w:r>
              <w:t xml:space="preserve">NA</w:t>
            </w:r>
          </w:p>
        </w:tc>
        <w:tc>
          <w:tcPr/>
          <w:p>
            <w:pPr>
              <w:pStyle w:val="Compact"/>
              <w:jc w:val="right"/>
            </w:pPr>
            <w:r>
              <w:t xml:space="preserve">67.998</w:t>
            </w:r>
          </w:p>
        </w:tc>
      </w:tr>
      <w:tr>
        <w:tc>
          <w:tcPr/>
          <w:p>
            <w:pPr>
              <w:pStyle w:val="Compact"/>
              <w:jc w:val="left"/>
            </w:pPr>
            <w:r>
              <w:t xml:space="preserve">Henry's Law</w:t>
            </w:r>
          </w:p>
        </w:tc>
        <w:tc>
          <w:tcPr/>
          <w:p>
            <w:pPr>
              <w:pStyle w:val="Compact"/>
              <w:jc w:val="left"/>
            </w:pPr>
            <w:r>
              <w:t xml:space="preserve">atm-m3/mole</w:t>
            </w:r>
          </w:p>
        </w:tc>
        <w:tc>
          <w:tcPr/>
          <w:p>
            <w:pPr>
              <w:pStyle w:val="Compact"/>
              <w:jc w:val="right"/>
            </w:pPr>
            <w:r>
              <w:t xml:space="preserve">NA</w:t>
            </w:r>
          </w:p>
        </w:tc>
        <w:tc>
          <w:tcPr/>
          <w:p>
            <w:pPr>
              <w:pStyle w:val="Compact"/>
              <w:jc w:val="right"/>
            </w:pPr>
            <w:r>
              <w:t xml:space="preserve">0.000</w:t>
            </w:r>
          </w:p>
        </w:tc>
      </w:tr>
      <w:tr>
        <w:tc>
          <w:tcPr/>
          <w:p>
            <w:pPr>
              <w:pStyle w:val="Compact"/>
              <w:jc w:val="left"/>
            </w:pPr>
            <w:r>
              <w:t xml:space="preserve">Index of Refraction</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1.289</w:t>
            </w:r>
          </w:p>
        </w:tc>
      </w:tr>
      <w:tr>
        <w:tc>
          <w:tcPr/>
          <w:p>
            <w:pPr>
              <w:pStyle w:val="Compact"/>
              <w:jc w:val="left"/>
            </w:pPr>
            <w:r>
              <w:t xml:space="preserve">LogKoa: Octanol-Air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4.156</w:t>
            </w:r>
          </w:p>
        </w:tc>
      </w:tr>
      <w:tr>
        <w:tc>
          <w:tcPr/>
          <w:p>
            <w:pPr>
              <w:pStyle w:val="Compact"/>
              <w:jc w:val="left"/>
            </w:pPr>
            <w:r>
              <w:t xml:space="preserve">LogKow: Octanol-Water</w:t>
            </w:r>
          </w:p>
        </w:tc>
        <w:tc>
          <w:tcPr/>
          <w:p>
            <w:pPr>
              <w:pStyle w:val="Compact"/>
              <w:jc w:val="left"/>
            </w:pPr>
            <w:r>
              <w:t xml:space="preserve">NA</w:t>
            </w:r>
          </w:p>
        </w:tc>
        <w:tc>
          <w:tcPr/>
          <w:p>
            <w:pPr>
              <w:pStyle w:val="Compact"/>
              <w:jc w:val="right"/>
            </w:pPr>
            <w:r>
              <w:t xml:space="preserve">3.104</w:t>
            </w:r>
          </w:p>
        </w:tc>
        <w:tc>
          <w:tcPr/>
          <w:p>
            <w:pPr>
              <w:pStyle w:val="Compact"/>
              <w:jc w:val="right"/>
            </w:pPr>
            <w:r>
              <w:t xml:space="preserve">5.683</w:t>
            </w:r>
          </w:p>
        </w:tc>
      </w:tr>
      <w:tr>
        <w:tc>
          <w:tcPr/>
          <w:p>
            <w:pPr>
              <w:pStyle w:val="Compact"/>
              <w:jc w:val="left"/>
            </w:pPr>
            <w:r>
              <w:t xml:space="preserve">Melting Point</w:t>
            </w:r>
          </w:p>
        </w:tc>
        <w:tc>
          <w:tcPr/>
          <w:p>
            <w:pPr>
              <w:pStyle w:val="Compact"/>
              <w:jc w:val="left"/>
            </w:pPr>
            <w:r>
              <w:t xml:space="preserve">°C</w:t>
            </w:r>
          </w:p>
        </w:tc>
        <w:tc>
          <w:tcPr/>
          <w:p>
            <w:pPr>
              <w:pStyle w:val="Compact"/>
              <w:jc w:val="right"/>
            </w:pPr>
            <w:r>
              <w:t xml:space="preserve">55.571</w:t>
            </w:r>
          </w:p>
        </w:tc>
        <w:tc>
          <w:tcPr/>
          <w:p>
            <w:pPr>
              <w:pStyle w:val="Compact"/>
              <w:jc w:val="right"/>
            </w:pPr>
            <w:r>
              <w:t xml:space="preserve">24.268</w:t>
            </w:r>
          </w:p>
        </w:tc>
      </w:tr>
      <w:tr>
        <w:tc>
          <w:tcPr/>
          <w:p>
            <w:pPr>
              <w:pStyle w:val="Compact"/>
              <w:jc w:val="left"/>
            </w:pPr>
            <w:r>
              <w:t xml:space="preserve">Molar Refractivity</w:t>
            </w:r>
          </w:p>
        </w:tc>
        <w:tc>
          <w:tcPr/>
          <w:p>
            <w:pPr>
              <w:pStyle w:val="Compact"/>
              <w:jc w:val="left"/>
            </w:pPr>
            <w:r>
              <w:t xml:space="preserve">cm^3</w:t>
            </w:r>
          </w:p>
        </w:tc>
        <w:tc>
          <w:tcPr/>
          <w:p>
            <w:pPr>
              <w:pStyle w:val="Compact"/>
              <w:jc w:val="right"/>
            </w:pPr>
            <w:r>
              <w:t xml:space="preserve">NA</w:t>
            </w:r>
          </w:p>
        </w:tc>
        <w:tc>
          <w:tcPr/>
          <w:p>
            <w:pPr>
              <w:pStyle w:val="Compact"/>
              <w:jc w:val="right"/>
            </w:pPr>
            <w:r>
              <w:t xml:space="preserve">42.893</w:t>
            </w:r>
          </w:p>
        </w:tc>
      </w:tr>
      <w:tr>
        <w:tc>
          <w:tcPr/>
          <w:p>
            <w:pPr>
              <w:pStyle w:val="Compact"/>
              <w:jc w:val="left"/>
            </w:pPr>
            <w:r>
              <w:t xml:space="preserve">Molar Volume</w:t>
            </w:r>
          </w:p>
        </w:tc>
        <w:tc>
          <w:tcPr/>
          <w:p>
            <w:pPr>
              <w:pStyle w:val="Compact"/>
              <w:jc w:val="left"/>
            </w:pPr>
            <w:r>
              <w:t xml:space="preserve">cm^3</w:t>
            </w:r>
          </w:p>
        </w:tc>
        <w:tc>
          <w:tcPr/>
          <w:p>
            <w:pPr>
              <w:pStyle w:val="Compact"/>
              <w:jc w:val="right"/>
            </w:pPr>
            <w:r>
              <w:t xml:space="preserve">NA</w:t>
            </w:r>
          </w:p>
        </w:tc>
        <w:tc>
          <w:tcPr/>
          <w:p>
            <w:pPr>
              <w:pStyle w:val="Compact"/>
              <w:jc w:val="right"/>
            </w:pPr>
            <w:r>
              <w:t xml:space="preserve">237.268</w:t>
            </w:r>
          </w:p>
        </w:tc>
      </w:tr>
      <w:tr>
        <w:tc>
          <w:tcPr/>
          <w:p>
            <w:pPr>
              <w:pStyle w:val="Compact"/>
              <w:jc w:val="left"/>
            </w:pPr>
            <w:r>
              <w:t xml:space="preserve">Polarizability</w:t>
            </w:r>
          </w:p>
        </w:tc>
        <w:tc>
          <w:tcPr/>
          <w:p>
            <w:pPr>
              <w:pStyle w:val="Compact"/>
              <w:jc w:val="left"/>
            </w:pPr>
            <w:r>
              <w:t xml:space="preserve">Å^3</w:t>
            </w:r>
          </w:p>
        </w:tc>
        <w:tc>
          <w:tcPr/>
          <w:p>
            <w:pPr>
              <w:pStyle w:val="Compact"/>
              <w:jc w:val="right"/>
            </w:pPr>
            <w:r>
              <w:t xml:space="preserve">NA</w:t>
            </w:r>
          </w:p>
        </w:tc>
        <w:tc>
          <w:tcPr/>
          <w:p>
            <w:pPr>
              <w:pStyle w:val="Compact"/>
              <w:jc w:val="right"/>
            </w:pPr>
            <w:r>
              <w:t xml:space="preserve">17.004</w:t>
            </w:r>
          </w:p>
        </w:tc>
      </w:tr>
      <w:tr>
        <w:tc>
          <w:tcPr/>
          <w:p>
            <w:pPr>
              <w:pStyle w:val="Compact"/>
              <w:jc w:val="left"/>
            </w:pPr>
            <w:r>
              <w:t xml:space="preserve">Surface Tension</w:t>
            </w:r>
          </w:p>
        </w:tc>
        <w:tc>
          <w:tcPr/>
          <w:p>
            <w:pPr>
              <w:pStyle w:val="Compact"/>
              <w:jc w:val="left"/>
            </w:pPr>
            <w:r>
              <w:t xml:space="preserve">dyn/cm</w:t>
            </w:r>
          </w:p>
        </w:tc>
        <w:tc>
          <w:tcPr/>
          <w:p>
            <w:pPr>
              <w:pStyle w:val="Compact"/>
              <w:jc w:val="right"/>
            </w:pPr>
            <w:r>
              <w:t xml:space="preserve">NA</w:t>
            </w:r>
          </w:p>
        </w:tc>
        <w:tc>
          <w:tcPr/>
          <w:p>
            <w:pPr>
              <w:pStyle w:val="Compact"/>
              <w:jc w:val="right"/>
            </w:pPr>
            <w:r>
              <w:t xml:space="preserve">16.819</w:t>
            </w:r>
          </w:p>
        </w:tc>
      </w:tr>
      <w:tr>
        <w:tc>
          <w:tcPr/>
          <w:p>
            <w:pPr>
              <w:pStyle w:val="Compact"/>
              <w:jc w:val="left"/>
            </w:pPr>
            <w:r>
              <w:t xml:space="preserve">Thermal Conductivity</w:t>
            </w:r>
          </w:p>
        </w:tc>
        <w:tc>
          <w:tcPr/>
          <w:p>
            <w:pPr>
              <w:pStyle w:val="Compact"/>
              <w:jc w:val="left"/>
            </w:pPr>
            <w:r>
              <w:t xml:space="preserve">mW/(m*K)</w:t>
            </w:r>
          </w:p>
        </w:tc>
        <w:tc>
          <w:tcPr/>
          <w:p>
            <w:pPr>
              <w:pStyle w:val="Compact"/>
              <w:jc w:val="right"/>
            </w:pPr>
            <w:r>
              <w:t xml:space="preserve">NA</w:t>
            </w:r>
          </w:p>
        </w:tc>
        <w:tc>
          <w:tcPr/>
          <w:p>
            <w:pPr>
              <w:pStyle w:val="Compact"/>
              <w:jc w:val="right"/>
            </w:pPr>
            <w:r>
              <w:t xml:space="preserve">65.258</w:t>
            </w:r>
          </w:p>
        </w:tc>
      </w:tr>
      <w:tr>
        <w:tc>
          <w:tcPr/>
          <w:p>
            <w:pPr>
              <w:pStyle w:val="Compact"/>
              <w:jc w:val="left"/>
            </w:pPr>
            <w:r>
              <w:t xml:space="preserve">Vapor Pressure</w:t>
            </w:r>
          </w:p>
        </w:tc>
        <w:tc>
          <w:tcPr/>
          <w:p>
            <w:pPr>
              <w:pStyle w:val="Compact"/>
              <w:jc w:val="left"/>
            </w:pPr>
            <w:r>
              <w:t xml:space="preserve">mmHg</w:t>
            </w:r>
          </w:p>
        </w:tc>
        <w:tc>
          <w:tcPr/>
          <w:p>
            <w:pPr>
              <w:pStyle w:val="Compact"/>
              <w:jc w:val="right"/>
            </w:pPr>
            <w:r>
              <w:t xml:space="preserve">0.988</w:t>
            </w:r>
          </w:p>
        </w:tc>
        <w:tc>
          <w:tcPr/>
          <w:p>
            <w:pPr>
              <w:pStyle w:val="Compact"/>
              <w:jc w:val="right"/>
            </w:pPr>
            <w:r>
              <w:t xml:space="preserve">0.243</w:t>
            </w:r>
          </w:p>
        </w:tc>
      </w:tr>
      <w:tr>
        <w:tc>
          <w:tcPr/>
          <w:p>
            <w:pPr>
              <w:pStyle w:val="Compact"/>
              <w:jc w:val="left"/>
            </w:pPr>
            <w:r>
              <w:t xml:space="preserve">Water Solubility</w:t>
            </w:r>
          </w:p>
        </w:tc>
        <w:tc>
          <w:tcPr/>
          <w:p>
            <w:pPr>
              <w:pStyle w:val="Compact"/>
              <w:jc w:val="left"/>
            </w:pPr>
            <w:r>
              <w:t xml:space="preserve">mol/L</w:t>
            </w:r>
          </w:p>
        </w:tc>
        <w:tc>
          <w:tcPr/>
          <w:p>
            <w:pPr>
              <w:pStyle w:val="Compact"/>
              <w:jc w:val="right"/>
            </w:pPr>
            <w:r>
              <w:t xml:space="preserve">0.014</w:t>
            </w:r>
          </w:p>
        </w:tc>
        <w:tc>
          <w:tcPr/>
          <w:p>
            <w:pPr>
              <w:pStyle w:val="Compact"/>
              <w:jc w:val="right"/>
            </w:pPr>
            <w:r>
              <w:t xml:space="preserve">0.753</w:t>
            </w:r>
          </w:p>
        </w:tc>
      </w:tr>
      <w:tr>
        <w:tc>
          <w:tcPr/>
          <w:p>
            <w:pPr>
              <w:pStyle w:val="Compact"/>
              <w:jc w:val="left"/>
            </w:pPr>
            <w:r>
              <w:t xml:space="preserve">pKa Acidic Apparent</w:t>
            </w:r>
          </w:p>
        </w:tc>
        <w:tc>
          <w:tcPr/>
          <w:p>
            <w:pPr>
              <w:pStyle w:val="Compact"/>
              <w:jc w:val="left"/>
            </w:pPr>
            <w:r>
              <w:t xml:space="preserve">NA</w:t>
            </w:r>
          </w:p>
        </w:tc>
        <w:tc>
          <w:tcPr/>
          <w:p>
            <w:pPr>
              <w:pStyle w:val="Compact"/>
              <w:jc w:val="right"/>
            </w:pPr>
            <w:r>
              <w:t xml:space="preserve">3.150</w:t>
            </w:r>
          </w:p>
        </w:tc>
        <w:tc>
          <w:tcPr/>
          <w:p>
            <w:pPr>
              <w:pStyle w:val="Compact"/>
              <w:jc w:val="right"/>
            </w:pPr>
            <w:r>
              <w:t xml:space="preserve">NA</w:t>
            </w:r>
          </w:p>
        </w:tc>
      </w:tr>
    </w:tbl>
    <w:bookmarkEnd w:id="26"/>
    <w:p>
      <w:pPr>
        <w:pStyle w:val="BodyText"/>
      </w:pPr>
      <w:r>
        <w:t xml:space="preserve">For environmental fate/ transport data, the</w:t>
      </w:r>
      <w:r>
        <w:t xml:space="preserve"> </w:t>
      </w:r>
      <w:r>
        <w:rPr>
          <w:rStyle w:val="VerbatimChar"/>
        </w:rPr>
        <w:t xml:space="preserve">ct_env_fate()</w:t>
      </w:r>
      <w:r>
        <w:t xml:space="preserve"> </w:t>
      </w:r>
      <w:r>
        <w:t xml:space="preserve">function also returns experimental and predictive data where available.</w:t>
      </w:r>
    </w:p>
    <w:p>
      <w:pPr>
        <w:pStyle w:val="SourceCode"/>
      </w:pPr>
      <w:r>
        <w:br/>
      </w:r>
      <w:r>
        <w:rPr>
          <w:rStyle w:val="VerbatimChar"/>
        </w:rPr>
        <w:t xml:space="preserve">Searching for environmetal fate and transport data...</w:t>
      </w:r>
    </w:p>
    <w:bookmarkStart w:id="27" w:name="tbl-eft-search"/>
    <w:p>
      <w:pPr>
        <w:pStyle w:val="TableCaption"/>
      </w:pPr>
      <w:r>
        <w:t xml:space="preserve">Table 2: Environmental Fate/ Transport Data for Perfluorooctanoic acid</w:t>
      </w:r>
    </w:p>
    <w:tbl>
      <w:tblPr>
        <w:tblStyle w:val="Table"/>
        <w:tblW w:type="auto" w:w="0"/>
        <w:tblLook w:firstRow="1" w:lastRow="0" w:firstColumn="0" w:lastColumn="0" w:noHBand="0" w:noVBand="0" w:val="0020"/>
        <w:jc w:val="start"/>
        <w:tblCaption w:val="Table 2: Environmental Fate/ Transport Data for Perfluorooctanoic acid"/>
      </w:tblPr>
      <w:tblGrid>
        <w:gridCol w:w="1980"/>
        <w:gridCol w:w="1980"/>
        <w:gridCol w:w="1980"/>
        <w:gridCol w:w="1980"/>
      </w:tblGrid>
      <w:tr>
        <w:trPr>
          <w:tblHeader w:val="true"/>
        </w:trPr>
        <w:tc>
          <w:tcPr/>
          <w:p>
            <w:pPr>
              <w:pStyle w:val="Compact"/>
              <w:jc w:val="left"/>
            </w:pPr>
            <w:r>
              <w:t xml:space="preserve">endpointName</w:t>
            </w:r>
          </w:p>
        </w:tc>
        <w:tc>
          <w:tcPr/>
          <w:p>
            <w:pPr>
              <w:pStyle w:val="Compact"/>
              <w:jc w:val="left"/>
            </w:pPr>
            <w:r>
              <w:t xml:space="preserve">unit</w:t>
            </w:r>
          </w:p>
        </w:tc>
        <w:tc>
          <w:tcPr/>
          <w:p>
            <w:pPr>
              <w:pStyle w:val="Compact"/>
              <w:jc w:val="right"/>
            </w:pPr>
            <w:r>
              <w:t xml:space="preserve">predicted</w:t>
            </w:r>
          </w:p>
        </w:tc>
        <w:tc>
          <w:tcPr/>
          <w:p>
            <w:pPr>
              <w:pStyle w:val="Compact"/>
              <w:jc w:val="right"/>
            </w:pPr>
            <w:r>
              <w:t xml:space="preserve">experimental</w:t>
            </w:r>
          </w:p>
        </w:tc>
      </w:tr>
      <w:tr>
        <w:tc>
          <w:tcPr/>
          <w:p>
            <w:pPr>
              <w:pStyle w:val="Compact"/>
              <w:jc w:val="left"/>
            </w:pPr>
            <w:r>
              <w:t xml:space="preserve">Atmos. Hydroxylation Rate</w:t>
            </w:r>
          </w:p>
        </w:tc>
        <w:tc>
          <w:tcPr/>
          <w:p>
            <w:pPr>
              <w:pStyle w:val="Compact"/>
              <w:jc w:val="left"/>
            </w:pPr>
            <w:r>
              <w:t xml:space="preserve">cm3/molecule*sec</w:t>
            </w:r>
          </w:p>
        </w:tc>
        <w:tc>
          <w:tcPr/>
          <w:p>
            <w:pPr>
              <w:pStyle w:val="Compact"/>
              <w:jc w:val="right"/>
            </w:pPr>
            <w:r>
              <w:t xml:space="preserve">0.000</w:t>
            </w:r>
          </w:p>
        </w:tc>
        <w:tc>
          <w:tcPr/>
          <w:p>
            <w:pPr>
              <w:pStyle w:val="Compact"/>
              <w:jc w:val="right"/>
            </w:pPr>
            <w:r>
              <w:t xml:space="preserve">NA</w:t>
            </w:r>
          </w:p>
        </w:tc>
      </w:tr>
      <w:tr>
        <w:tc>
          <w:tcPr/>
          <w:p>
            <w:pPr>
              <w:pStyle w:val="Compact"/>
              <w:jc w:val="left"/>
            </w:pPr>
            <w:r>
              <w:t xml:space="preserve">Bioaccumulation Factor</w:t>
            </w:r>
          </w:p>
        </w:tc>
        <w:tc>
          <w:tcPr/>
          <w:p>
            <w:pPr>
              <w:pStyle w:val="Compact"/>
              <w:jc w:val="left"/>
            </w:pPr>
            <w:r>
              <w:t xml:space="preserve">NA</w:t>
            </w:r>
          </w:p>
        </w:tc>
        <w:tc>
          <w:tcPr/>
          <w:p>
            <w:pPr>
              <w:pStyle w:val="Compact"/>
              <w:jc w:val="right"/>
            </w:pPr>
            <w:r>
              <w:t xml:space="preserve">7674.000</w:t>
            </w:r>
          </w:p>
        </w:tc>
        <w:tc>
          <w:tcPr/>
          <w:p>
            <w:pPr>
              <w:pStyle w:val="Compact"/>
              <w:jc w:val="right"/>
            </w:pPr>
            <w:r>
              <w:t xml:space="preserve">NA</w:t>
            </w:r>
          </w:p>
        </w:tc>
      </w:tr>
      <w:tr>
        <w:tc>
          <w:tcPr/>
          <w:p>
            <w:pPr>
              <w:pStyle w:val="Compact"/>
              <w:jc w:val="left"/>
            </w:pPr>
            <w:r>
              <w:t xml:space="preserve">Bioconcentration Factor</w:t>
            </w:r>
          </w:p>
        </w:tc>
        <w:tc>
          <w:tcPr/>
          <w:p>
            <w:pPr>
              <w:pStyle w:val="Compact"/>
              <w:jc w:val="left"/>
            </w:pPr>
            <w:r>
              <w:t xml:space="preserve">NA</w:t>
            </w:r>
          </w:p>
        </w:tc>
        <w:tc>
          <w:tcPr/>
          <w:p>
            <w:pPr>
              <w:pStyle w:val="Compact"/>
              <w:jc w:val="right"/>
            </w:pPr>
            <w:r>
              <w:t xml:space="preserve">993.599</w:t>
            </w:r>
          </w:p>
        </w:tc>
        <w:tc>
          <w:tcPr/>
          <w:p>
            <w:pPr>
              <w:pStyle w:val="Compact"/>
              <w:jc w:val="right"/>
            </w:pPr>
            <w:r>
              <w:t xml:space="preserve">NA</w:t>
            </w:r>
          </w:p>
        </w:tc>
      </w:tr>
      <w:tr>
        <w:tc>
          <w:tcPr/>
          <w:p>
            <w:pPr>
              <w:pStyle w:val="Compact"/>
              <w:jc w:val="left"/>
            </w:pPr>
            <w:r>
              <w:t xml:space="preserve">Biodeg. Half-Life</w:t>
            </w:r>
          </w:p>
        </w:tc>
        <w:tc>
          <w:tcPr/>
          <w:p>
            <w:pPr>
              <w:pStyle w:val="Compact"/>
              <w:jc w:val="left"/>
            </w:pPr>
            <w:r>
              <w:t xml:space="preserve">days</w:t>
            </w:r>
          </w:p>
        </w:tc>
        <w:tc>
          <w:tcPr/>
          <w:p>
            <w:pPr>
              <w:pStyle w:val="Compact"/>
              <w:jc w:val="right"/>
            </w:pPr>
            <w:r>
              <w:t xml:space="preserve">4.943</w:t>
            </w:r>
          </w:p>
        </w:tc>
        <w:tc>
          <w:tcPr/>
          <w:p>
            <w:pPr>
              <w:pStyle w:val="Compact"/>
              <w:jc w:val="right"/>
            </w:pPr>
            <w:r>
              <w:t xml:space="preserve">NA</w:t>
            </w:r>
          </w:p>
        </w:tc>
      </w:tr>
      <w:tr>
        <w:tc>
          <w:tcPr/>
          <w:p>
            <w:pPr>
              <w:pStyle w:val="Compact"/>
              <w:jc w:val="left"/>
            </w:pPr>
            <w:r>
              <w:t xml:space="preserve">Fish Biotrans. Half-Life (Km)</w:t>
            </w:r>
          </w:p>
        </w:tc>
        <w:tc>
          <w:tcPr/>
          <w:p>
            <w:pPr>
              <w:pStyle w:val="Compact"/>
              <w:jc w:val="left"/>
            </w:pPr>
            <w:r>
              <w:t xml:space="preserve">days</w:t>
            </w:r>
          </w:p>
        </w:tc>
        <w:tc>
          <w:tcPr/>
          <w:p>
            <w:pPr>
              <w:pStyle w:val="Compact"/>
              <w:jc w:val="right"/>
            </w:pPr>
            <w:r>
              <w:t xml:space="preserve">1.345</w:t>
            </w:r>
          </w:p>
        </w:tc>
        <w:tc>
          <w:tcPr/>
          <w:p>
            <w:pPr>
              <w:pStyle w:val="Compact"/>
              <w:jc w:val="right"/>
            </w:pPr>
            <w:r>
              <w:t xml:space="preserve">NA</w:t>
            </w:r>
          </w:p>
        </w:tc>
      </w:tr>
      <w:tr>
        <w:tc>
          <w:tcPr/>
          <w:p>
            <w:pPr>
              <w:pStyle w:val="Compact"/>
              <w:jc w:val="left"/>
            </w:pPr>
            <w:r>
              <w:t xml:space="preserve">Soil Adsorp. Coeff. (Koc)</w:t>
            </w:r>
          </w:p>
        </w:tc>
        <w:tc>
          <w:tcPr/>
          <w:p>
            <w:pPr>
              <w:pStyle w:val="Compact"/>
              <w:jc w:val="left"/>
            </w:pPr>
            <w:r>
              <w:t xml:space="preserve">L/kg</w:t>
            </w:r>
          </w:p>
        </w:tc>
        <w:tc>
          <w:tcPr/>
          <w:p>
            <w:pPr>
              <w:pStyle w:val="Compact"/>
              <w:jc w:val="right"/>
            </w:pPr>
            <w:r>
              <w:t xml:space="preserve">1161.658</w:t>
            </w:r>
          </w:p>
        </w:tc>
        <w:tc>
          <w:tcPr/>
          <w:p>
            <w:pPr>
              <w:pStyle w:val="Compact"/>
              <w:jc w:val="right"/>
            </w:pPr>
            <w:r>
              <w:t xml:space="preserve">NA</w:t>
            </w:r>
          </w:p>
        </w:tc>
      </w:tr>
    </w:tbl>
    <w:bookmarkEnd w:id="27"/>
    <w:bookmarkEnd w:id="28"/>
    <w:bookmarkStart w:id="37" w:name="hazard-comparison"/>
    <w:p>
      <w:pPr>
        <w:pStyle w:val="Heading3"/>
      </w:pPr>
      <w:r>
        <w:t xml:space="preserve">Hazard Comparison</w:t>
      </w:r>
    </w:p>
    <w:p>
      <w:pPr>
        <w:pStyle w:val="FirstParagraph"/>
      </w:pPr>
      <w:r>
        <w:t xml:space="preserve">Following the logic primarily outlined by</w:t>
      </w:r>
      <w:r>
        <w:t xml:space="preserve"> </w:t>
      </w:r>
      <w:r>
        <w:t xml:space="preserve">@vegosen_2020</w:t>
      </w:r>
      <w:r>
        <w:t xml:space="preserve">, the</w:t>
      </w:r>
      <w:r>
        <w:t xml:space="preserve"> </w:t>
      </w:r>
      <w:r>
        <w:rPr>
          <w:rStyle w:val="VerbatimChar"/>
        </w:rPr>
        <w:t xml:space="preserve">hc_table()</w:t>
      </w:r>
      <w:r>
        <w:t xml:space="preserve"> </w:t>
      </w:r>
      <w:r>
        <w:t xml:space="preserve">function is provided to compare a set of compounds across a multitude of endpoints. Each endpoint is binned into a range of categorical tiers (</w:t>
      </w:r>
      <w:r>
        <w:t xml:space="preserve">‘</w:t>
      </w:r>
      <w:r>
        <w:t xml:space="preserve">VH</w:t>
      </w:r>
      <w:r>
        <w:t xml:space="preserve">’</w:t>
      </w:r>
      <w:r>
        <w:t xml:space="preserve">,</w:t>
      </w:r>
      <w:r>
        <w:t xml:space="preserve"> </w:t>
      </w:r>
      <w:r>
        <w:t xml:space="preserve">‘</w:t>
      </w:r>
      <w:r>
        <w:t xml:space="preserve">H</w:t>
      </w:r>
      <w:r>
        <w:t xml:space="preserve">’</w:t>
      </w:r>
      <w:r>
        <w:t xml:space="preserve">,</w:t>
      </w:r>
      <w:r>
        <w:t xml:space="preserve"> </w:t>
      </w:r>
      <w:r>
        <w:t xml:space="preserve">‘</w:t>
      </w:r>
      <w:r>
        <w:t xml:space="preserve">M</w:t>
      </w:r>
      <w:r>
        <w:t xml:space="preserve">’</w:t>
      </w:r>
      <w:r>
        <w:t xml:space="preserve">,</w:t>
      </w:r>
      <w:r>
        <w:t xml:space="preserve"> </w:t>
      </w:r>
      <w:r>
        <w:t xml:space="preserve">‘</w:t>
      </w:r>
      <w:r>
        <w:t xml:space="preserve">L</w:t>
      </w:r>
      <w:r>
        <w:t xml:space="preserve">’</w:t>
      </w:r>
      <w:r>
        <w:t xml:space="preserve">,</w:t>
      </w:r>
      <w:r>
        <w:t xml:space="preserve"> </w:t>
      </w:r>
      <w:r>
        <w:t xml:space="preserve">‘</w:t>
      </w:r>
      <w:r>
        <w:t xml:space="preserve">NA</w:t>
      </w:r>
      <w:r>
        <w:t xml:space="preserve">’</w:t>
      </w:r>
      <w:r>
        <w:t xml:space="preserve">). These tiers are based off of numerical data (e.g. LD50 values) and categorical data (e.g.: from GHS data). Within the</w:t>
      </w:r>
      <w:r>
        <w:t xml:space="preserve"> </w:t>
      </w:r>
      <w:r>
        <w:rPr>
          <w:rStyle w:val="VerbatimChar"/>
        </w:rPr>
        <w:t xml:space="preserve">hc_table()</w:t>
      </w:r>
      <w:r>
        <w:t xml:space="preserve"> </w:t>
      </w:r>
      <w:r>
        <w:t xml:space="preserve">function, a number of other functions are called to retrieve data. Data is then aggregated and converted to a categorical value based on the criteria as detailed by</w:t>
      </w:r>
      <w:r>
        <w:t xml:space="preserve"> </w:t>
      </w:r>
      <w:r>
        <w:t xml:space="preserve">@vegosen_2020</w:t>
      </w:r>
      <w:r>
        <w:t xml:space="preserve">.</w:t>
      </w:r>
    </w:p>
    <w:p>
      <w:pPr>
        <w:pStyle w:val="BodyText"/>
      </w:pPr>
      <w:r>
        <w:t xml:space="preserve">In this implementation, we use a variation on the</w:t>
      </w:r>
      <w:r>
        <w:t xml:space="preserve"> </w:t>
      </w:r>
      <w:r>
        <w:t xml:space="preserve">‘</w:t>
      </w:r>
      <w:r>
        <w:t xml:space="preserve">trumping</w:t>
      </w:r>
      <w:r>
        <w:t xml:space="preserve">’</w:t>
      </w:r>
      <w:r>
        <w:t xml:space="preserve"> </w:t>
      </w:r>
      <w:r>
        <w:t xml:space="preserve">methodology. Briefly, we search for numerical, authoritative data sources as a primary search parameter. This entails experimental, historical data that has been curated by CCD. For compounds that are data-poor, we also search for GHS data for the relevant</w:t>
      </w:r>
      <w:r>
        <w:t xml:space="preserve"> </w:t>
      </w:r>
      <w:r>
        <w:t xml:space="preserve">‘</w:t>
      </w:r>
      <w:r>
        <w:t xml:space="preserve">H codes</w:t>
      </w:r>
      <w:r>
        <w:t xml:space="preserve">’</w:t>
      </w:r>
      <w:r>
        <w:t xml:space="preserve"> </w:t>
      </w:r>
      <w:r>
        <w:t xml:space="preserve">and across curated, aggregated lists (ECHA SVCH, IARC, OEHHA Prop 65) for hazard and risk classifications. Lists are pulled from CCD or directly from the parent agency’s site, and stored as a RDS object. Since these do not (typically) contain numerical threshold data, we convert the ranged values of the from binning criteria into a median value and assign it the compound with the corresponding categorical classification. Finally, as a last resort we query against QSAR-based models (e.g.: TEST) and assign a categorical value from the prediction. We feel this is an appropriate workflow, as historical data and GHS rankings are based off of experimental data, while QSAR-based models are statistical extrapolations and subject to applicability domain restrictions.</w:t>
      </w:r>
    </w:p>
    <w:p>
      <w:pPr>
        <w:pStyle w:val="BodyText"/>
      </w:pPr>
      <w:r>
        <w:t xml:space="preserve">Not included in the original implementation or the current hosted web-application, we include several endpoints that risk-assessors may find useful under the larger family of</w:t>
      </w:r>
      <w:r>
        <w:t xml:space="preserve"> </w:t>
      </w:r>
      <w:r>
        <w:t xml:space="preserve">‘</w:t>
      </w:r>
      <w:r>
        <w:t xml:space="preserve">Safety</w:t>
      </w:r>
      <w:r>
        <w:t xml:space="preserve">’</w:t>
      </w:r>
      <w:r>
        <w:t xml:space="preserve">. Endpoints of</w:t>
      </w:r>
      <w:r>
        <w:t xml:space="preserve"> </w:t>
      </w:r>
      <w:r>
        <w:t xml:space="preserve">‘</w:t>
      </w:r>
      <w:r>
        <w:t xml:space="preserve">Ignitability</w:t>
      </w:r>
      <w:r>
        <w:t xml:space="preserve">’</w:t>
      </w:r>
      <w:r>
        <w:t xml:space="preserve">,</w:t>
      </w:r>
      <w:r>
        <w:t xml:space="preserve"> </w:t>
      </w:r>
      <w:r>
        <w:t xml:space="preserve">‘</w:t>
      </w:r>
      <w:r>
        <w:t xml:space="preserve">RxnWater</w:t>
      </w:r>
      <w:r>
        <w:t xml:space="preserve">’</w:t>
      </w:r>
      <w:r>
        <w:t xml:space="preserve"> </w:t>
      </w:r>
      <w:r>
        <w:t xml:space="preserve">(reaction with water), and</w:t>
      </w:r>
      <w:r>
        <w:t xml:space="preserve"> </w:t>
      </w:r>
      <w:r>
        <w:t xml:space="preserve">‘</w:t>
      </w:r>
      <w:r>
        <w:t xml:space="preserve">SelfRxn</w:t>
      </w:r>
      <w:r>
        <w:t xml:space="preserve">’</w:t>
      </w:r>
      <w:r>
        <w:t xml:space="preserve"> </w:t>
      </w:r>
      <w:r>
        <w:t xml:space="preserve">(self-reacting) were added and derived based off of physio-chemical properties (flash point, boiling point) and GHS</w:t>
      </w:r>
      <w:r>
        <w:t xml:space="preserve"> </w:t>
      </w:r>
      <w:r>
        <w:t xml:space="preserve">‘</w:t>
      </w:r>
      <w:r>
        <w:t xml:space="preserve">H codes</w:t>
      </w:r>
      <w:r>
        <w:t xml:space="preserve">’</w:t>
      </w:r>
      <w:r>
        <w:t xml:space="preserve"> </w:t>
      </w:r>
      <w:r>
        <w:t xml:space="preserve">classifications. We also opted to include a</w:t>
      </w:r>
      <w:r>
        <w:t xml:space="preserve"> </w:t>
      </w:r>
      <w:r>
        <w:t xml:space="preserve">‘</w:t>
      </w:r>
      <w:r>
        <w:t xml:space="preserve">Mobility</w:t>
      </w:r>
      <w:r>
        <w:t xml:space="preserve">’</w:t>
      </w:r>
      <w:r>
        <w:t xml:space="preserve"> </w:t>
      </w:r>
      <w:r>
        <w:t xml:space="preserve">endpoint under the</w:t>
      </w:r>
      <w:r>
        <w:t xml:space="preserve"> </w:t>
      </w:r>
      <w:r>
        <w:t xml:space="preserve">‘</w:t>
      </w:r>
      <w:r>
        <w:t xml:space="preserve">Environmental Fate</w:t>
      </w:r>
      <w:r>
        <w:t xml:space="preserve">’</w:t>
      </w:r>
      <w:r>
        <w:t xml:space="preserve"> </w:t>
      </w:r>
      <w:r>
        <w:t xml:space="preserve">family that incorporates ECHA’s definitions of</w:t>
      </w:r>
      <w:r>
        <w:t xml:space="preserve"> </w:t>
      </w:r>
      <w:r>
        <w:t xml:space="preserve">‘</w:t>
      </w:r>
      <w:r>
        <w:t xml:space="preserve">persistence, mobility and toxicity (PMT/vPvM)</w:t>
      </w:r>
      <w:r>
        <w:t xml:space="preserve">’</w:t>
      </w:r>
      <w:r>
        <w:t xml:space="preserve"> </w:t>
      </w:r>
      <w:r>
        <w:t xml:space="preserve">compounds based off of the organic carbon-water coefficient, as this is a well-described property in the literature and able to be predicted by QSAR model.</w:t>
      </w:r>
    </w:p>
    <w:p>
      <w:pPr>
        <w:pStyle w:val="BodyText"/>
      </w:pPr>
      <w:r>
        <w:t xml:space="preserve">The function</w:t>
      </w:r>
      <w:r>
        <w:t xml:space="preserve"> </w:t>
      </w:r>
      <w:r>
        <w:rPr>
          <w:rStyle w:val="VerbatimChar"/>
        </w:rPr>
        <w:t xml:space="preserve">hc_table()</w:t>
      </w:r>
      <w:r>
        <w:t xml:space="preserve"> </w:t>
      </w:r>
      <w:r>
        <w:t xml:space="preserve">function has a number of useful arguments that may be of interest. While the</w:t>
      </w:r>
      <w:r>
        <w:t xml:space="preserve"> </w:t>
      </w:r>
      <w:r>
        <w:rPr>
          <w:rStyle w:val="VerbatimChar"/>
        </w:rPr>
        <w:t xml:space="preserve">query</w:t>
      </w:r>
      <w:r>
        <w:t xml:space="preserve"> </w:t>
      </w:r>
      <w:r>
        <w:t xml:space="preserve">argument is required for live searching, the</w:t>
      </w:r>
      <w:r>
        <w:t xml:space="preserve"> </w:t>
      </w:r>
      <w:r>
        <w:rPr>
          <w:rStyle w:val="VerbatimChar"/>
        </w:rPr>
        <w:t xml:space="preserve">archive</w:t>
      </w:r>
      <w:r>
        <w:t xml:space="preserve"> </w:t>
      </w:r>
      <w:r>
        <w:t xml:space="preserve">or</w:t>
      </w:r>
      <w:r>
        <w:t xml:space="preserve"> </w:t>
      </w:r>
      <w:r>
        <w:rPr>
          <w:rStyle w:val="VerbatimChar"/>
        </w:rPr>
        <w:t xml:space="preserve">save</w:t>
      </w:r>
      <w:r>
        <w:t xml:space="preserve"> </w:t>
      </w:r>
      <w:r>
        <w:t xml:space="preserve">arguments are not. If on an initial query the</w:t>
      </w:r>
      <w:r>
        <w:t xml:space="preserve"> </w:t>
      </w:r>
      <w:r>
        <w:t xml:space="preserve">‘</w:t>
      </w:r>
      <w:r>
        <w:t xml:space="preserve">save</w:t>
      </w:r>
      <w:r>
        <w:t xml:space="preserve">’</w:t>
      </w:r>
      <w:r>
        <w:t xml:space="preserve"> </w:t>
      </w:r>
      <w:r>
        <w:t xml:space="preserve">argument is set to</w:t>
      </w:r>
      <w:r>
        <w:t xml:space="preserve"> </w:t>
      </w:r>
      <w:r>
        <w:rPr>
          <w:rStyle w:val="VerbatimChar"/>
        </w:rPr>
        <w:t xml:space="preserve">TRUE</w:t>
      </w:r>
      <w:r>
        <w:t xml:space="preserve">, the underlying data that is generated is saved in the local directory as an .Rds file. In parallel, the arguments</w:t>
      </w:r>
      <w:r>
        <w:t xml:space="preserve"> </w:t>
      </w:r>
      <w:r>
        <w:rPr>
          <w:rStyle w:val="VerbatimChar"/>
        </w:rPr>
        <w:t xml:space="preserve">archive_string</w:t>
      </w:r>
      <w:r>
        <w:t xml:space="preserve"> </w:t>
      </w:r>
      <w:r>
        <w:t xml:space="preserve">and</w:t>
      </w:r>
      <w:r>
        <w:t xml:space="preserve"> </w:t>
      </w:r>
      <w:r>
        <w:rPr>
          <w:rStyle w:val="VerbatimChar"/>
        </w:rPr>
        <w:t xml:space="preserve">save_string</w:t>
      </w:r>
      <w:r>
        <w:t xml:space="preserve"> </w:t>
      </w:r>
      <w:r>
        <w:t xml:space="preserve">allow the user to supply a custom string for a file name.</w:t>
      </w:r>
    </w:p>
    <w:bookmarkStart w:id="29" w:name="tbl-hc-table2"/>
    <w:p>
      <w:pPr>
        <w:pStyle w:val="SourceCode"/>
      </w:pPr>
      <w:r>
        <w:rPr>
          <w:rStyle w:val="VerbatimChar"/>
        </w:rPr>
        <w:t xml:space="preserve">Searching for compound details....</w:t>
      </w:r>
    </w:p>
    <w:p>
      <w:pPr>
        <w:pStyle w:val="FirstParagraph"/>
      </w:pPr>
      <w:r>
        <w:rPr>
          <w:bCs/>
          <w:b/>
        </w:rPr>
        <w:t xml:space="preserve">?(caption)</w:t>
      </w:r>
    </w:p>
    <w:bookmarkEnd w:id="29"/>
    <w:p>
      <w:r>
        <w:br w:type="page"/>
      </w:r>
    </w:p>
    <w:bookmarkStart w:id="30" w:name="tbl-hc-table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Health Effects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Ecotoxicity</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Safety</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 Fate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Dermal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Inhalation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Carcinogenicity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Mutagenicity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Endocrine_Disruption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Developmental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Acute_Aquatic_Toxicity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Chronic_Aquatic_Toxicity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Ignitability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RxnWater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SelfRxn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Persistence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Bioaccumulation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Mobility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Perfluorooctanoic acid</w:t>
            </w:r>
          </w:p>
        </w:tc>
        <w:tc>
          <w:tcPr>
            <w:tcBorders>
              <w:bottom w:val="none" w:sz="0" w:space="0" w:color="000000"/>
              <w:top w:val="single" w:sz="12" w:space="0" w:color="666666"/>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single" w:sz="12" w:space="0" w:color="666666"/>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single" w:sz="12" w:space="0" w:color="666666"/>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single" w:sz="12" w:space="0" w:color="666666"/>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single" w:sz="12" w:space="0" w:color="666666"/>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single" w:sz="12" w:space="0" w:color="666666"/>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single" w:sz="12" w:space="0" w:color="666666"/>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single" w:sz="12" w:space="0" w:color="666666"/>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single" w:sz="12" w:space="0" w:color="666666"/>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c>
          <w:tcPr>
            <w:tcBorders>
              <w:bottom w:val="none" w:sz="0" w:space="0" w:color="000000"/>
              <w:top w:val="single" w:sz="12" w:space="0" w:color="666666"/>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Benzene</w:t>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Dazomet</w:t>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(Z)-1,2-Dichloroethylene</w:t>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Tamoxifen</w:t>
            </w:r>
          </w:p>
        </w:tc>
        <w:tc>
          <w:tcPr>
            <w:tcBorders>
              <w:bottom w:val="none" w:sz="0" w:space="0" w:color="000000"/>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c>
          <w:tcPr>
            <w:tcBorders>
              <w:bottom w:val="none" w:sz="0" w:space="0" w:color="000000"/>
              <w:top w:val="none" w:sz="0" w:space="0" w:color="000000"/>
              <w:left w:val="none" w:sz="0" w:space="0" w:color="000000"/>
              <w:right w:val="none" w:sz="0" w:space="0" w:color="000000"/>
            </w:tcBorders>
            <w:shd w:val="clear" w:color="auto" w:fill="E31A1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VH</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Bisphenol A</w:t>
            </w:r>
          </w:p>
        </w:tc>
        <w:tc>
          <w:tcPr>
            <w:tcBorders>
              <w:bottom w:val="single" w:sz="12" w:space="0" w:color="666666"/>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2" w:space="0" w:color="666666"/>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single" w:sz="12" w:space="0" w:color="666666"/>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single" w:sz="12" w:space="0" w:color="666666"/>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single" w:sz="12" w:space="0" w:color="666666"/>
              <w:top w:val="none" w:sz="0" w:space="0" w:color="000000"/>
              <w:left w:val="none" w:sz="0" w:space="0" w:color="000000"/>
              <w:right w:val="none" w:sz="0" w:space="0" w:color="000000"/>
            </w:tcBorders>
            <w:shd w:val="clear" w:color="auto" w:fill="FD8D3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t>
            </w:r>
          </w:p>
        </w:tc>
        <w:tc>
          <w:tcPr>
            <w:tcBorders>
              <w:bottom w:val="single" w:sz="12" w:space="0" w:color="666666"/>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B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ECC5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r>
    </w:tbl>
    <w:p>
      <w:pPr>
        <w:pStyle w:val="BodyText"/>
      </w:pPr>
      <w:r>
        <w:rPr>
          <w:bCs/>
          <w:b/>
        </w:rPr>
        <w:t xml:space="preserve">?(caption)</w:t>
      </w:r>
    </w:p>
    <w:bookmarkEnd w:id="30"/>
    <w:p>
      <w:r>
        <w:br w:type="page"/>
      </w:r>
    </w:p>
    <w:p>
      <w:pPr>
        <w:pStyle w:val="BodyText"/>
      </w:pPr>
      <w:r>
        <w:t xml:space="preserve">Data completeness functions are also able to be ran to better assess the relative quality of both the compounds and endpoints being assessed.</w:t>
      </w:r>
    </w:p>
    <w:p>
      <w:pPr>
        <w:pStyle w:val="BodyText"/>
      </w:pPr>
      <w:r>
        <w:t xml:space="preserve">The</w:t>
      </w:r>
      <w:r>
        <w:t xml:space="preserve"> </w:t>
      </w:r>
      <w:r>
        <w:t xml:space="preserve">‘</w:t>
      </w:r>
      <w:r>
        <w:t xml:space="preserve">compound coverage</w:t>
      </w:r>
      <w:r>
        <w:t xml:space="preserve">’</w:t>
      </w:r>
      <w:r>
        <w:t xml:space="preserve"> </w:t>
      </w:r>
      <w:r>
        <w:t xml:space="preserve">score is an assessment of how many endpoints for each compound were able to be queried for, displayed as a fraction of 1.0 (analogous to 100%). Here, all compounds that were included in the initial query has at-least 50% of the endpoints represented (12 out of 16).</w:t>
      </w:r>
    </w:p>
    <w:p>
      <w:pPr>
        <w:pStyle w:val="SourceCode"/>
      </w:pPr>
      <w:r>
        <w:rPr>
          <w:rStyle w:val="NormalTok"/>
        </w:rPr>
        <w:t xml:space="preserve">hc_cc </w:t>
      </w:r>
      <w:r>
        <w:rPr>
          <w:rStyle w:val="OtherTok"/>
        </w:rPr>
        <w:t xml:space="preserve">&lt;-</w:t>
      </w:r>
      <w:r>
        <w:rPr>
          <w:rStyle w:val="NormalTok"/>
        </w:rPr>
        <w:t xml:space="preserve"> </w:t>
      </w:r>
      <w:r>
        <w:rPr>
          <w:rStyle w:val="FunctionTok"/>
        </w:rPr>
        <w:t xml:space="preserve">hc_compound_coverage</w:t>
      </w:r>
      <w:r>
        <w:rPr>
          <w:rStyle w:val="NormalTok"/>
        </w:rPr>
        <w:t xml:space="preserve">(</w:t>
      </w:r>
      <w:r>
        <w:rPr>
          <w:rStyle w:val="AttributeTok"/>
        </w:rPr>
        <w:t xml:space="preserve">table =</w:t>
      </w:r>
      <w:r>
        <w:rPr>
          <w:rStyle w:val="NormalTok"/>
        </w:rPr>
        <w:t xml:space="preserve"> df, </w:t>
      </w:r>
      <w:r>
        <w:rPr>
          <w:rStyle w:val="AttributeTok"/>
        </w:rPr>
        <w:t xml:space="preserve">ID =</w:t>
      </w:r>
      <w:r>
        <w:rPr>
          <w:rStyle w:val="NormalTok"/>
        </w:rPr>
        <w:t xml:space="preserve"> </w:t>
      </w:r>
      <w:r>
        <w:rPr>
          <w:rStyle w:val="StringTok"/>
        </w:rPr>
        <w:t xml:space="preserve">'preferredName'</w:t>
      </w:r>
      <w:r>
        <w:rPr>
          <w:rStyle w:val="NormalTok"/>
        </w:rPr>
        <w:t xml:space="preserve">, </w:t>
      </w:r>
      <w:r>
        <w:rPr>
          <w:rStyle w:val="AttributeTok"/>
        </w:rPr>
        <w:t xml:space="preserve">suffix =</w:t>
      </w:r>
      <w:r>
        <w:rPr>
          <w:rStyle w:val="NormalTok"/>
        </w:rPr>
        <w:t xml:space="preserve"> </w:t>
      </w:r>
      <w:r>
        <w:rPr>
          <w:rStyle w:val="StringTok"/>
        </w:rPr>
        <w:t xml:space="preserve">'_amount'</w:t>
      </w:r>
      <w:r>
        <w:rPr>
          <w:rStyle w:val="NormalTok"/>
        </w:rPr>
        <w:t xml:space="preserve">)</w:t>
      </w:r>
    </w:p>
    <w:p>
      <w:pPr>
        <w:pStyle w:val="SourceCode"/>
      </w:pPr>
      <w:r>
        <w:rPr>
          <w:rStyle w:val="NormalTok"/>
        </w:rPr>
        <w:t xml:space="preserve">hc_cc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data_coverage =</w:t>
      </w:r>
      <w:r>
        <w:rPr>
          <w:rStyle w:val="NormalTok"/>
        </w:rPr>
        <w:t xml:space="preserve"> </w:t>
      </w:r>
      <w:r>
        <w:rPr>
          <w:rStyle w:val="FunctionTok"/>
        </w:rPr>
        <w:t xml:space="preserve">round</w:t>
      </w:r>
      <w:r>
        <w:rPr>
          <w:rStyle w:val="NormalTok"/>
        </w:rPr>
        <w:t xml:space="preserve">(data_coverage,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position =</w:t>
      </w:r>
      <w:r>
        <w:rPr>
          <w:rStyle w:val="NormalTok"/>
        </w:rPr>
        <w:t xml:space="preserve"> </w:t>
      </w:r>
      <w:r>
        <w:rPr>
          <w:rStyle w:val="StringTok"/>
        </w:rPr>
        <w:t xml:space="preserve">"center"</w:t>
      </w:r>
      <w:r>
        <w:rPr>
          <w:rStyle w:val="NormalTok"/>
        </w:rPr>
        <w:t xml:space="preserve">)</w:t>
      </w:r>
    </w:p>
    <w:bookmarkStart w:id="31" w:name="tbl-hc-compound-coverage"/>
    <w:p>
      <w:pPr>
        <w:pStyle w:val="TableCaption"/>
      </w:pPr>
      <w:r>
        <w:t xml:space="preserve">Table 3: Compound coverage scores</w:t>
      </w:r>
    </w:p>
    <w:tbl>
      <w:tblPr>
        <w:tblStyle w:val="Table"/>
        <w:tblW w:type="auto" w:w="0"/>
        <w:tblLook w:firstRow="1" w:lastRow="0" w:firstColumn="0" w:lastColumn="0" w:noHBand="0" w:noVBand="0" w:val="0020"/>
        <w:jc w:val="start"/>
        <w:tblCaption w:val="Table 3: Compound coverage scores"/>
      </w:tblPr>
      <w:tblGrid>
        <w:gridCol w:w="3960"/>
        <w:gridCol w:w="3960"/>
      </w:tblGrid>
      <w:tr>
        <w:trPr>
          <w:tblHeader w:val="true"/>
        </w:trPr>
        <w:tc>
          <w:tcPr/>
          <w:p>
            <w:pPr>
              <w:pStyle w:val="Compact"/>
              <w:jc w:val="left"/>
            </w:pPr>
            <w:r>
              <w:t xml:space="preserve">preferredName</w:t>
            </w:r>
          </w:p>
        </w:tc>
        <w:tc>
          <w:tcPr/>
          <w:p>
            <w:pPr>
              <w:pStyle w:val="Compact"/>
              <w:jc w:val="right"/>
            </w:pPr>
            <w:r>
              <w:t xml:space="preserve">data_coverage</w:t>
            </w:r>
          </w:p>
        </w:tc>
      </w:tr>
      <w:tr>
        <w:tc>
          <w:tcPr/>
          <w:p>
            <w:pPr>
              <w:pStyle w:val="Compact"/>
              <w:jc w:val="left"/>
            </w:pPr>
            <w:r>
              <w:t xml:space="preserve">Perfluorooctanoic acid</w:t>
            </w:r>
          </w:p>
        </w:tc>
        <w:tc>
          <w:tcPr/>
          <w:p>
            <w:pPr>
              <w:pStyle w:val="Compact"/>
              <w:jc w:val="right"/>
            </w:pPr>
            <w:r>
              <w:t xml:space="preserve">0.65</w:t>
            </w:r>
          </w:p>
        </w:tc>
      </w:tr>
      <w:tr>
        <w:tc>
          <w:tcPr/>
          <w:p>
            <w:pPr>
              <w:pStyle w:val="Compact"/>
              <w:jc w:val="left"/>
            </w:pPr>
            <w:r>
              <w:t xml:space="preserve">Benzene</w:t>
            </w:r>
          </w:p>
        </w:tc>
        <w:tc>
          <w:tcPr/>
          <w:p>
            <w:pPr>
              <w:pStyle w:val="Compact"/>
              <w:jc w:val="right"/>
            </w:pPr>
            <w:r>
              <w:t xml:space="preserve">0.82</w:t>
            </w:r>
          </w:p>
        </w:tc>
      </w:tr>
      <w:tr>
        <w:tc>
          <w:tcPr/>
          <w:p>
            <w:pPr>
              <w:pStyle w:val="Compact"/>
              <w:jc w:val="left"/>
            </w:pPr>
            <w:r>
              <w:t xml:space="preserve">Dazomet</w:t>
            </w:r>
          </w:p>
        </w:tc>
        <w:tc>
          <w:tcPr/>
          <w:p>
            <w:pPr>
              <w:pStyle w:val="Compact"/>
              <w:jc w:val="right"/>
            </w:pPr>
            <w:r>
              <w:t xml:space="preserve">0.76</w:t>
            </w:r>
          </w:p>
        </w:tc>
      </w:tr>
      <w:tr>
        <w:tc>
          <w:tcPr/>
          <w:p>
            <w:pPr>
              <w:pStyle w:val="Compact"/>
              <w:jc w:val="left"/>
            </w:pPr>
            <w:r>
              <w:t xml:space="preserve">(Z)-1,2-Dichloroethylene</w:t>
            </w:r>
          </w:p>
        </w:tc>
        <w:tc>
          <w:tcPr/>
          <w:p>
            <w:pPr>
              <w:pStyle w:val="Compact"/>
              <w:jc w:val="right"/>
            </w:pPr>
            <w:r>
              <w:t xml:space="preserve">0.59</w:t>
            </w:r>
          </w:p>
        </w:tc>
      </w:tr>
      <w:tr>
        <w:tc>
          <w:tcPr/>
          <w:p>
            <w:pPr>
              <w:pStyle w:val="Compact"/>
              <w:jc w:val="left"/>
            </w:pPr>
            <w:r>
              <w:t xml:space="preserve">Tamoxifen</w:t>
            </w:r>
          </w:p>
        </w:tc>
        <w:tc>
          <w:tcPr/>
          <w:p>
            <w:pPr>
              <w:pStyle w:val="Compact"/>
              <w:jc w:val="right"/>
            </w:pPr>
            <w:r>
              <w:t xml:space="preserve">0.59</w:t>
            </w:r>
          </w:p>
        </w:tc>
      </w:tr>
      <w:tr>
        <w:tc>
          <w:tcPr/>
          <w:p>
            <w:pPr>
              <w:pStyle w:val="Compact"/>
              <w:jc w:val="left"/>
            </w:pPr>
            <w:r>
              <w:t xml:space="preserve">Bisphenol A</w:t>
            </w:r>
          </w:p>
        </w:tc>
        <w:tc>
          <w:tcPr/>
          <w:p>
            <w:pPr>
              <w:pStyle w:val="Compact"/>
              <w:jc w:val="right"/>
            </w:pPr>
            <w:r>
              <w:t xml:space="preserve">0.59</w:t>
            </w:r>
          </w:p>
        </w:tc>
      </w:tr>
    </w:tbl>
    <w:bookmarkEnd w:id="31"/>
    <w:p>
      <w:pPr>
        <w:pStyle w:val="BodyText"/>
      </w:pPr>
      <w:r>
        <w:t xml:space="preserve">Conversely, the</w:t>
      </w:r>
      <w:r>
        <w:t xml:space="preserve"> </w:t>
      </w:r>
      <w:r>
        <w:t xml:space="preserve">‘</w:t>
      </w:r>
      <w:r>
        <w:t xml:space="preserve">endpoint coverage</w:t>
      </w:r>
      <w:r>
        <w:t xml:space="preserve">’</w:t>
      </w:r>
      <w:r>
        <w:t xml:space="preserve"> </w:t>
      </w:r>
      <w:r>
        <w:t xml:space="preserve">score returns the percentage of compounds being available per each endpoint. This table is critical to the ToxPi calculation, as it is responsible for the weighting parameter. By default, the weighting per each endpoint is defaulted to a</w:t>
      </w:r>
      <w:r>
        <w:t xml:space="preserve"> </w:t>
      </w:r>
      <w:r>
        <w:t xml:space="preserve">‘</w:t>
      </w:r>
      <w:r>
        <w:t xml:space="preserve">1.0</w:t>
      </w:r>
      <w:r>
        <w:t xml:space="preserve">’</w:t>
      </w:r>
      <w:r>
        <w:t xml:space="preserve"> </w:t>
      </w:r>
      <w:r>
        <w:t xml:space="preserve">(i.e.: equal).</w:t>
      </w:r>
    </w:p>
    <w:p>
      <w:pPr>
        <w:pStyle w:val="SourceCode"/>
      </w:pPr>
      <w:r>
        <w:rPr>
          <w:rStyle w:val="FunctionTok"/>
        </w:rPr>
        <w:t xml:space="preserve">hc_endpoint_coverage</w:t>
      </w:r>
      <w:r>
        <w:rPr>
          <w:rStyle w:val="NormalTok"/>
        </w:rPr>
        <w:t xml:space="preserve">(</w:t>
      </w:r>
      <w:r>
        <w:rPr>
          <w:rStyle w:val="AttributeTok"/>
        </w:rPr>
        <w:t xml:space="preserve">table =</w:t>
      </w:r>
      <w:r>
        <w:rPr>
          <w:rStyle w:val="NormalTok"/>
        </w:rPr>
        <w:t xml:space="preserve"> df, </w:t>
      </w:r>
      <w:r>
        <w:rPr>
          <w:rStyle w:val="AttributeTok"/>
        </w:rPr>
        <w:t xml:space="preserve">ID =</w:t>
      </w:r>
      <w:r>
        <w:rPr>
          <w:rStyle w:val="NormalTok"/>
        </w:rPr>
        <w:t xml:space="preserve"> </w:t>
      </w:r>
      <w:r>
        <w:rPr>
          <w:rStyle w:val="StringTok"/>
        </w:rPr>
        <w:t xml:space="preserve">'preferredName'</w:t>
      </w:r>
      <w:r>
        <w:rPr>
          <w:rStyle w:val="NormalTok"/>
        </w:rPr>
        <w:t xml:space="preserve">, </w:t>
      </w:r>
      <w:r>
        <w:rPr>
          <w:rStyle w:val="AttributeTok"/>
        </w:rPr>
        <w:t xml:space="preserve">suffix =</w:t>
      </w:r>
      <w:r>
        <w:rPr>
          <w:rStyle w:val="NormalTok"/>
        </w:rPr>
        <w:t xml:space="preserve"> </w:t>
      </w:r>
      <w:r>
        <w:rPr>
          <w:rStyle w:val="StringTok"/>
        </w:rPr>
        <w:t xml:space="preserve">'_amount'</w:t>
      </w:r>
      <w:r>
        <w:rPr>
          <w:rStyle w:val="NormalTok"/>
        </w:rPr>
        <w:t xml:space="preserve">, </w:t>
      </w:r>
      <w:r>
        <w:rPr>
          <w:rStyle w:val="AttributeTok"/>
        </w:rPr>
        <w:t xml:space="preserve">filter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16 x 3</w:t>
      </w:r>
      <w:r>
        <w:br/>
      </w:r>
      <w:r>
        <w:rPr>
          <w:rStyle w:val="VerbatimChar"/>
        </w:rPr>
        <w:t xml:space="preserve">   endpoint             score weight</w:t>
      </w:r>
      <w:r>
        <w:br/>
      </w:r>
      <w:r>
        <w:rPr>
          <w:rStyle w:val="VerbatimChar"/>
        </w:rPr>
        <w:t xml:space="preserve">   &lt;chr&gt;                &lt;dbl&gt;  &lt;dbl&gt;</w:t>
      </w:r>
      <w:r>
        <w:br/>
      </w:r>
      <w:r>
        <w:rPr>
          <w:rStyle w:val="VerbatimChar"/>
        </w:rPr>
        <w:t xml:space="preserve"> 1 oral_amount          1          1</w:t>
      </w:r>
      <w:r>
        <w:br/>
      </w:r>
      <w:r>
        <w:rPr>
          <w:rStyle w:val="VerbatimChar"/>
        </w:rPr>
        <w:t xml:space="preserve"> 2 dermal_amount        0.167      1</w:t>
      </w:r>
      <w:r>
        <w:br/>
      </w:r>
      <w:r>
        <w:rPr>
          <w:rStyle w:val="VerbatimChar"/>
        </w:rPr>
        <w:t xml:space="preserve"> 3 inhalation_amount    0.667      1</w:t>
      </w:r>
      <w:r>
        <w:br/>
      </w:r>
      <w:r>
        <w:rPr>
          <w:rStyle w:val="VerbatimChar"/>
        </w:rPr>
        <w:t xml:space="preserve"> 4 cancer_amount        0.5        1</w:t>
      </w:r>
      <w:r>
        <w:br/>
      </w:r>
      <w:r>
        <w:rPr>
          <w:rStyle w:val="VerbatimChar"/>
        </w:rPr>
        <w:t xml:space="preserve"> 5 geno_amount          0.833      1</w:t>
      </w:r>
      <w:r>
        <w:br/>
      </w:r>
      <w:r>
        <w:rPr>
          <w:rStyle w:val="VerbatimChar"/>
        </w:rPr>
        <w:t xml:space="preserve"> 6 endo_amount          0.5        1</w:t>
      </w:r>
      <w:r>
        <w:br/>
      </w:r>
      <w:r>
        <w:rPr>
          <w:rStyle w:val="VerbatimChar"/>
        </w:rPr>
        <w:t xml:space="preserve"> 7 reproductive_amount  0.833      1</w:t>
      </w:r>
      <w:r>
        <w:br/>
      </w:r>
      <w:r>
        <w:rPr>
          <w:rStyle w:val="VerbatimChar"/>
        </w:rPr>
        <w:t xml:space="preserve"> 8 developmental_amount 0.833      1</w:t>
      </w:r>
      <w:r>
        <w:br/>
      </w:r>
      <w:r>
        <w:rPr>
          <w:rStyle w:val="VerbatimChar"/>
        </w:rPr>
        <w:t xml:space="preserve"> 9 acute_aq_amount      1          1</w:t>
      </w:r>
      <w:r>
        <w:br/>
      </w:r>
      <w:r>
        <w:rPr>
          <w:rStyle w:val="VerbatimChar"/>
        </w:rPr>
        <w:t xml:space="preserve">10 chronic_aq_amount    0.833      1</w:t>
      </w:r>
      <w:r>
        <w:br/>
      </w:r>
      <w:r>
        <w:rPr>
          <w:rStyle w:val="VerbatimChar"/>
        </w:rPr>
        <w:t xml:space="preserve">11 ignite_amount        0.333      1</w:t>
      </w:r>
      <w:r>
        <w:br/>
      </w:r>
      <w:r>
        <w:rPr>
          <w:rStyle w:val="VerbatimChar"/>
        </w:rPr>
        <w:t xml:space="preserve">12 rxnwater_amount      0          1</w:t>
      </w:r>
      <w:r>
        <w:br/>
      </w:r>
      <w:r>
        <w:rPr>
          <w:rStyle w:val="VerbatimChar"/>
        </w:rPr>
        <w:t xml:space="preserve">13 selfrxn_amount       0          1</w:t>
      </w:r>
      <w:r>
        <w:br/>
      </w:r>
      <w:r>
        <w:rPr>
          <w:rStyle w:val="VerbatimChar"/>
        </w:rPr>
        <w:t xml:space="preserve">14 persistance_amount   1          1</w:t>
      </w:r>
      <w:r>
        <w:br/>
      </w:r>
      <w:r>
        <w:rPr>
          <w:rStyle w:val="VerbatimChar"/>
        </w:rPr>
        <w:t xml:space="preserve">15 bac_amount           1          1</w:t>
      </w:r>
      <w:r>
        <w:br/>
      </w:r>
      <w:r>
        <w:rPr>
          <w:rStyle w:val="VerbatimChar"/>
        </w:rPr>
        <w:t xml:space="preserve">16 mobile_amount        1          1</w:t>
      </w:r>
    </w:p>
    <w:p>
      <w:pPr>
        <w:pStyle w:val="FirstParagraph"/>
      </w:pPr>
      <w:r>
        <w:t xml:space="preserve">We recommend that a user run this function with an explicitly declared filter parameter for the score set to</w:t>
      </w:r>
      <w:r>
        <w:t xml:space="preserve"> </w:t>
      </w:r>
      <w:r>
        <w:t xml:space="preserve">‘</w:t>
      </w:r>
      <w:r>
        <w:t xml:space="preserve">0</w:t>
      </w:r>
      <w:r>
        <w:t xml:space="preserve">’</w:t>
      </w:r>
      <w:r>
        <w:t xml:space="preserve"> </w:t>
      </w:r>
      <w:r>
        <w:t xml:space="preserve">to see all relative responses before selecting an appropriate cutoff value. Failing to explicitly specify a filter cutoff will default the value to</w:t>
      </w:r>
      <w:r>
        <w:t xml:space="preserve"> </w:t>
      </w:r>
      <w:r>
        <w:t xml:space="preserve">‘</w:t>
      </w:r>
      <w:r>
        <w:t xml:space="preserve">0.5</w:t>
      </w:r>
      <w:r>
        <w:t xml:space="preserve">’</w:t>
      </w:r>
      <w:r>
        <w:t xml:space="preserve">.</w:t>
      </w:r>
    </w:p>
    <w:p>
      <w:pPr>
        <w:pStyle w:val="SourceCode"/>
      </w:pPr>
      <w:r>
        <w:br/>
      </w:r>
      <w:r>
        <w:rPr>
          <w:rStyle w:val="VerbatimChar"/>
        </w:rPr>
        <w:t xml:space="preserve">Defaulting to 0.5% score for cutoff!</w:t>
      </w:r>
    </w:p>
    <w:bookmarkStart w:id="32" w:name="tbl-bias"/>
    <w:p>
      <w:pPr>
        <w:pStyle w:val="TableCaption"/>
      </w:pPr>
      <w:r>
        <w:t xml:space="preserve">Table 4: Endpoint weighing for bias</w:t>
      </w:r>
    </w:p>
    <w:tbl>
      <w:tblPr>
        <w:tblStyle w:val="Table"/>
        <w:tblW w:type="auto" w:w="0"/>
        <w:tblLook w:firstRow="1" w:lastRow="0" w:firstColumn="0" w:lastColumn="0" w:noHBand="0" w:noVBand="0" w:val="0020"/>
        <w:jc w:val="start"/>
        <w:tblCaption w:val="Table 4: Endpoint weighing for bias"/>
      </w:tblPr>
      <w:tblGrid>
        <w:gridCol w:w="2640"/>
        <w:gridCol w:w="2640"/>
        <w:gridCol w:w="2640"/>
      </w:tblGrid>
      <w:tr>
        <w:trPr>
          <w:tblHeader w:val="true"/>
        </w:trPr>
        <w:tc>
          <w:tcPr/>
          <w:p>
            <w:pPr>
              <w:pStyle w:val="Compact"/>
              <w:jc w:val="left"/>
            </w:pPr>
            <w:r>
              <w:t xml:space="preserve">endpoint</w:t>
            </w:r>
          </w:p>
        </w:tc>
        <w:tc>
          <w:tcPr/>
          <w:p>
            <w:pPr>
              <w:pStyle w:val="Compact"/>
              <w:jc w:val="right"/>
            </w:pPr>
            <w:r>
              <w:t xml:space="preserve">score</w:t>
            </w:r>
          </w:p>
        </w:tc>
        <w:tc>
          <w:tcPr/>
          <w:p>
            <w:pPr>
              <w:pStyle w:val="Compact"/>
              <w:jc w:val="right"/>
            </w:pPr>
            <w:r>
              <w:t xml:space="preserve">weight</w:t>
            </w:r>
          </w:p>
        </w:tc>
      </w:tr>
      <w:tr>
        <w:tc>
          <w:tcPr/>
          <w:p>
            <w:pPr>
              <w:pStyle w:val="Compact"/>
              <w:jc w:val="left"/>
            </w:pPr>
            <w:r>
              <w:t xml:space="preserve">oral_amount</w:t>
            </w:r>
          </w:p>
        </w:tc>
        <w:tc>
          <w:tcPr/>
          <w:p>
            <w:pPr>
              <w:pStyle w:val="Compact"/>
              <w:jc w:val="right"/>
            </w:pPr>
            <w:r>
              <w:t xml:space="preserve">1.0000000</w:t>
            </w:r>
          </w:p>
        </w:tc>
        <w:tc>
          <w:tcPr/>
          <w:p>
            <w:pPr>
              <w:pStyle w:val="Compact"/>
              <w:jc w:val="right"/>
            </w:pPr>
            <w:r>
              <w:t xml:space="preserve">1</w:t>
            </w:r>
          </w:p>
        </w:tc>
      </w:tr>
      <w:tr>
        <w:tc>
          <w:tcPr/>
          <w:p>
            <w:pPr>
              <w:pStyle w:val="Compact"/>
              <w:jc w:val="left"/>
            </w:pPr>
            <w:r>
              <w:t xml:space="preserve">inhalation_amount</w:t>
            </w:r>
          </w:p>
        </w:tc>
        <w:tc>
          <w:tcPr/>
          <w:p>
            <w:pPr>
              <w:pStyle w:val="Compact"/>
              <w:jc w:val="right"/>
            </w:pPr>
            <w:r>
              <w:t xml:space="preserve">0.6666667</w:t>
            </w:r>
          </w:p>
        </w:tc>
        <w:tc>
          <w:tcPr/>
          <w:p>
            <w:pPr>
              <w:pStyle w:val="Compact"/>
              <w:jc w:val="right"/>
            </w:pPr>
            <w:r>
              <w:t xml:space="preserve">1</w:t>
            </w:r>
          </w:p>
        </w:tc>
      </w:tr>
      <w:tr>
        <w:tc>
          <w:tcPr/>
          <w:p>
            <w:pPr>
              <w:pStyle w:val="Compact"/>
              <w:jc w:val="left"/>
            </w:pPr>
            <w:r>
              <w:t xml:space="preserve">cancer_amount</w:t>
            </w:r>
          </w:p>
        </w:tc>
        <w:tc>
          <w:tcPr/>
          <w:p>
            <w:pPr>
              <w:pStyle w:val="Compact"/>
              <w:jc w:val="right"/>
            </w:pPr>
            <w:r>
              <w:t xml:space="preserve">0.5000000</w:t>
            </w:r>
          </w:p>
        </w:tc>
        <w:tc>
          <w:tcPr/>
          <w:p>
            <w:pPr>
              <w:pStyle w:val="Compact"/>
              <w:jc w:val="right"/>
            </w:pPr>
            <w:r>
              <w:t xml:space="preserve">1</w:t>
            </w:r>
          </w:p>
        </w:tc>
      </w:tr>
      <w:tr>
        <w:tc>
          <w:tcPr/>
          <w:p>
            <w:pPr>
              <w:pStyle w:val="Compact"/>
              <w:jc w:val="left"/>
            </w:pPr>
            <w:r>
              <w:t xml:space="preserve">geno_amount</w:t>
            </w:r>
          </w:p>
        </w:tc>
        <w:tc>
          <w:tcPr/>
          <w:p>
            <w:pPr>
              <w:pStyle w:val="Compact"/>
              <w:jc w:val="right"/>
            </w:pPr>
            <w:r>
              <w:t xml:space="preserve">0.8333333</w:t>
            </w:r>
          </w:p>
        </w:tc>
        <w:tc>
          <w:tcPr/>
          <w:p>
            <w:pPr>
              <w:pStyle w:val="Compact"/>
              <w:jc w:val="right"/>
            </w:pPr>
            <w:r>
              <w:t xml:space="preserve">1</w:t>
            </w:r>
          </w:p>
        </w:tc>
      </w:tr>
      <w:tr>
        <w:tc>
          <w:tcPr/>
          <w:p>
            <w:pPr>
              <w:pStyle w:val="Compact"/>
              <w:jc w:val="left"/>
            </w:pPr>
            <w:r>
              <w:t xml:space="preserve">endo_amount</w:t>
            </w:r>
          </w:p>
        </w:tc>
        <w:tc>
          <w:tcPr/>
          <w:p>
            <w:pPr>
              <w:pStyle w:val="Compact"/>
              <w:jc w:val="right"/>
            </w:pPr>
            <w:r>
              <w:t xml:space="preserve">0.5000000</w:t>
            </w:r>
          </w:p>
        </w:tc>
        <w:tc>
          <w:tcPr/>
          <w:p>
            <w:pPr>
              <w:pStyle w:val="Compact"/>
              <w:jc w:val="right"/>
            </w:pPr>
            <w:r>
              <w:t xml:space="preserve">1</w:t>
            </w:r>
          </w:p>
        </w:tc>
      </w:tr>
      <w:tr>
        <w:tc>
          <w:tcPr/>
          <w:p>
            <w:pPr>
              <w:pStyle w:val="Compact"/>
              <w:jc w:val="left"/>
            </w:pPr>
            <w:r>
              <w:t xml:space="preserve">reproductive_amount</w:t>
            </w:r>
          </w:p>
        </w:tc>
        <w:tc>
          <w:tcPr/>
          <w:p>
            <w:pPr>
              <w:pStyle w:val="Compact"/>
              <w:jc w:val="right"/>
            </w:pPr>
            <w:r>
              <w:t xml:space="preserve">0.8333333</w:t>
            </w:r>
          </w:p>
        </w:tc>
        <w:tc>
          <w:tcPr/>
          <w:p>
            <w:pPr>
              <w:pStyle w:val="Compact"/>
              <w:jc w:val="right"/>
            </w:pPr>
            <w:r>
              <w:t xml:space="preserve">1</w:t>
            </w:r>
          </w:p>
        </w:tc>
      </w:tr>
      <w:tr>
        <w:tc>
          <w:tcPr/>
          <w:p>
            <w:pPr>
              <w:pStyle w:val="Compact"/>
              <w:jc w:val="left"/>
            </w:pPr>
            <w:r>
              <w:t xml:space="preserve">developmental_amount</w:t>
            </w:r>
          </w:p>
        </w:tc>
        <w:tc>
          <w:tcPr/>
          <w:p>
            <w:pPr>
              <w:pStyle w:val="Compact"/>
              <w:jc w:val="right"/>
            </w:pPr>
            <w:r>
              <w:t xml:space="preserve">0.8333333</w:t>
            </w:r>
          </w:p>
        </w:tc>
        <w:tc>
          <w:tcPr/>
          <w:p>
            <w:pPr>
              <w:pStyle w:val="Compact"/>
              <w:jc w:val="right"/>
            </w:pPr>
            <w:r>
              <w:t xml:space="preserve">1</w:t>
            </w:r>
          </w:p>
        </w:tc>
      </w:tr>
      <w:tr>
        <w:tc>
          <w:tcPr/>
          <w:p>
            <w:pPr>
              <w:pStyle w:val="Compact"/>
              <w:jc w:val="left"/>
            </w:pPr>
            <w:r>
              <w:t xml:space="preserve">acute_aq_amount</w:t>
            </w:r>
          </w:p>
        </w:tc>
        <w:tc>
          <w:tcPr/>
          <w:p>
            <w:pPr>
              <w:pStyle w:val="Compact"/>
              <w:jc w:val="right"/>
            </w:pPr>
            <w:r>
              <w:t xml:space="preserve">1.0000000</w:t>
            </w:r>
          </w:p>
        </w:tc>
        <w:tc>
          <w:tcPr/>
          <w:p>
            <w:pPr>
              <w:pStyle w:val="Compact"/>
              <w:jc w:val="right"/>
            </w:pPr>
            <w:r>
              <w:t xml:space="preserve">1</w:t>
            </w:r>
          </w:p>
        </w:tc>
      </w:tr>
      <w:tr>
        <w:tc>
          <w:tcPr/>
          <w:p>
            <w:pPr>
              <w:pStyle w:val="Compact"/>
              <w:jc w:val="left"/>
            </w:pPr>
            <w:r>
              <w:t xml:space="preserve">chronic_aq_amount</w:t>
            </w:r>
          </w:p>
        </w:tc>
        <w:tc>
          <w:tcPr/>
          <w:p>
            <w:pPr>
              <w:pStyle w:val="Compact"/>
              <w:jc w:val="right"/>
            </w:pPr>
            <w:r>
              <w:t xml:space="preserve">0.8333333</w:t>
            </w:r>
          </w:p>
        </w:tc>
        <w:tc>
          <w:tcPr/>
          <w:p>
            <w:pPr>
              <w:pStyle w:val="Compact"/>
              <w:jc w:val="right"/>
            </w:pPr>
            <w:r>
              <w:t xml:space="preserve">1</w:t>
            </w:r>
          </w:p>
        </w:tc>
      </w:tr>
      <w:tr>
        <w:tc>
          <w:tcPr/>
          <w:p>
            <w:pPr>
              <w:pStyle w:val="Compact"/>
              <w:jc w:val="left"/>
            </w:pPr>
            <w:r>
              <w:t xml:space="preserve">persistance_amount</w:t>
            </w:r>
          </w:p>
        </w:tc>
        <w:tc>
          <w:tcPr/>
          <w:p>
            <w:pPr>
              <w:pStyle w:val="Compact"/>
              <w:jc w:val="right"/>
            </w:pPr>
            <w:r>
              <w:t xml:space="preserve">1.0000000</w:t>
            </w:r>
          </w:p>
        </w:tc>
        <w:tc>
          <w:tcPr/>
          <w:p>
            <w:pPr>
              <w:pStyle w:val="Compact"/>
              <w:jc w:val="right"/>
            </w:pPr>
            <w:r>
              <w:t xml:space="preserve">1</w:t>
            </w:r>
          </w:p>
        </w:tc>
      </w:tr>
      <w:tr>
        <w:tc>
          <w:tcPr/>
          <w:p>
            <w:pPr>
              <w:pStyle w:val="Compact"/>
              <w:jc w:val="left"/>
            </w:pPr>
            <w:r>
              <w:t xml:space="preserve">bac_amount</w:t>
            </w:r>
          </w:p>
        </w:tc>
        <w:tc>
          <w:tcPr/>
          <w:p>
            <w:pPr>
              <w:pStyle w:val="Compact"/>
              <w:jc w:val="right"/>
            </w:pPr>
            <w:r>
              <w:t xml:space="preserve">1.0000000</w:t>
            </w:r>
          </w:p>
        </w:tc>
        <w:tc>
          <w:tcPr/>
          <w:p>
            <w:pPr>
              <w:pStyle w:val="Compact"/>
              <w:jc w:val="right"/>
            </w:pPr>
            <w:r>
              <w:t xml:space="preserve">1</w:t>
            </w:r>
          </w:p>
        </w:tc>
      </w:tr>
      <w:tr>
        <w:tc>
          <w:tcPr/>
          <w:p>
            <w:pPr>
              <w:pStyle w:val="Compact"/>
              <w:jc w:val="left"/>
            </w:pPr>
            <w:r>
              <w:t xml:space="preserve">mobile_amount</w:t>
            </w:r>
          </w:p>
        </w:tc>
        <w:tc>
          <w:tcPr/>
          <w:p>
            <w:pPr>
              <w:pStyle w:val="Compact"/>
              <w:jc w:val="right"/>
            </w:pPr>
            <w:r>
              <w:t xml:space="preserve">1.0000000</w:t>
            </w:r>
          </w:p>
        </w:tc>
        <w:tc>
          <w:tcPr/>
          <w:p>
            <w:pPr>
              <w:pStyle w:val="Compact"/>
              <w:jc w:val="right"/>
            </w:pPr>
            <w:r>
              <w:t xml:space="preserve">1</w:t>
            </w:r>
          </w:p>
        </w:tc>
      </w:tr>
    </w:tbl>
    <w:bookmarkEnd w:id="32"/>
    <w:p>
      <w:pPr>
        <w:pStyle w:val="BodyText"/>
      </w:pPr>
      <w:r>
        <w:t xml:space="preserve">After assessing the quality of data, a user may manually adjust the weight response per each endpoint via manual subsetting.</w:t>
      </w:r>
    </w:p>
    <w:p>
      <w:pPr>
        <w:pStyle w:val="BodyText"/>
      </w:pPr>
      <w:r>
        <w:t xml:space="preserve">The helper</w:t>
      </w:r>
      <w:r>
        <w:t xml:space="preserve"> </w:t>
      </w:r>
      <w:r>
        <w:rPr>
          <w:rStyle w:val="VerbatimChar"/>
        </w:rPr>
        <w:t xml:space="preserve">ct_archive()</w:t>
      </w:r>
      <w:r>
        <w:t xml:space="preserve"> </w:t>
      </w:r>
      <w:r>
        <w:t xml:space="preserve">function can be ran to load the data easily into local working memory for closer examination. If the such a file exists AND the</w:t>
      </w:r>
      <w:r>
        <w:t xml:space="preserve"> </w:t>
      </w:r>
      <w:r>
        <w:t xml:space="preserve">‘</w:t>
      </w:r>
      <w:r>
        <w:t xml:space="preserve">archive</w:t>
      </w:r>
      <w:r>
        <w:t xml:space="preserve">’</w:t>
      </w:r>
      <w:r>
        <w:t xml:space="preserve"> </w:t>
      </w:r>
      <w:r>
        <w:t xml:space="preserve">flag is set to true, the function uses the data to recreate the table, saving query request time. The underlying data structure unpacks to the global environment should a user want to examine the data further.</w:t>
      </w:r>
    </w:p>
    <w:bookmarkStart w:id="36" w:name="toxpi-ranking"/>
    <w:p>
      <w:pPr>
        <w:pStyle w:val="Heading4"/>
      </w:pPr>
      <w:r>
        <w:t xml:space="preserve">ToxPi Ranking</w:t>
      </w:r>
    </w:p>
    <w:p>
      <w:pPr>
        <w:pStyle w:val="FirstParagraph"/>
      </w:pPr>
      <w:r>
        <w:t xml:space="preserve">As detailed by</w:t>
      </w:r>
      <w:r>
        <w:t xml:space="preserve"> </w:t>
      </w:r>
      <w:r>
        <w:t xml:space="preserve">@reif_2010</w:t>
      </w:r>
      <w:r>
        <w:t xml:space="preserve">, we have implemented the Toxicological Priority Index (ToxPi) scoring algorithm within this package. ToxPi relied upon weight-of-evidence to subjectively rank compounds across various domains yielding a unitless score.</w:t>
      </w:r>
    </w:p>
    <w:p>
      <w:pPr>
        <w:pStyle w:val="BodyText"/>
      </w:pPr>
      <w:r>
        <w:t xml:space="preserve">For each endpoint from the hazard comparison table, the responses are scaled through a min-max normalization to [0-1] (Eq. 1). The score for each endpoint is then summed per compound, yielding a unitless score, where the higher score indicates higher, relative hazard and risk (Eq. 2).</w:t>
      </w:r>
    </w:p>
    <w:p>
      <w:pPr>
        <w:pStyle w:val="BodyText"/>
      </w:pPr>
      <w:r>
        <w:t xml:space="preserve">Eq. 1:</w:t>
      </w:r>
    </w:p>
    <w:p>
      <w:pPr>
        <w:pStyle w:val="BodyText"/>
      </w:pPr>
      <w:bookmarkStart w:id="33" w:name="eq-single-score"/>
      <m:oMathPara>
        <m:oMathParaPr>
          <m:jc m:val="center"/>
        </m:oMathParaPr>
        <m:oMath>
          <m:r>
            <m:t>x</m:t>
          </m:r>
          <m:r>
            <m:rPr>
              <m:sty m:val="p"/>
            </m:rPr>
            <m:t>′</m:t>
          </m:r>
          <m:r>
            <m:rPr>
              <m:sty m:val="p"/>
            </m:rPr>
            <m:t>=</m:t>
          </m:r>
          <m:f>
            <m:fPr>
              <m:type m:val="bar"/>
            </m:fPr>
            <m:num>
              <m:r>
                <m:t>x</m:t>
              </m:r>
              <m:r>
                <m:rPr>
                  <m:sty m:val="p"/>
                </m:rPr>
                <m:t>−</m:t>
              </m:r>
              <m:r>
                <m:t>m</m:t>
              </m:r>
              <m:r>
                <m:t>i</m:t>
              </m:r>
              <m:r>
                <m:t>n</m:t>
              </m:r>
              <m:d>
                <m:dPr>
                  <m:begChr m:val="("/>
                  <m:endChr m:val=")"/>
                  <m:sepChr m:val=""/>
                  <m:grow/>
                </m:dPr>
                <m:e>
                  <m:r>
                    <m:t>x</m:t>
                  </m:r>
                </m:e>
              </m:d>
            </m:num>
            <m:den>
              <m:r>
                <m:t>m</m:t>
              </m:r>
              <m:r>
                <m:t>a</m:t>
              </m:r>
              <m:r>
                <m:t>x</m:t>
              </m:r>
              <m:d>
                <m:dPr>
                  <m:begChr m:val="("/>
                  <m:endChr m:val=")"/>
                  <m:sepChr m:val=""/>
                  <m:grow/>
                </m:dPr>
                <m:e>
                  <m:r>
                    <m:t>x</m:t>
                  </m:r>
                </m:e>
              </m:d>
              <m:r>
                <m:rPr>
                  <m:sty m:val="p"/>
                </m:rPr>
                <m:t>−</m:t>
              </m:r>
              <m:r>
                <m:t>m</m:t>
              </m:r>
              <m:r>
                <m:t>i</m:t>
              </m:r>
              <m:r>
                <m:t>n</m:t>
              </m:r>
              <m:d>
                <m:dPr>
                  <m:begChr m:val="("/>
                  <m:endChr m:val=")"/>
                  <m:sepChr m:val=""/>
                  <m:grow/>
                </m:dPr>
                <m:e>
                  <m:r>
                    <m:t>x</m:t>
                  </m:r>
                </m:e>
              </m:d>
            </m:den>
          </m:f>
          <m:r>
            <m:t>  </m:t>
          </m:r>
          <m:d>
            <m:dPr>
              <m:begChr m:val="("/>
              <m:endChr m:val=")"/>
              <m:sepChr m:val=""/>
              <m:grow/>
            </m:dPr>
            <m:e>
              <m:r>
                <m:t>1</m:t>
              </m:r>
            </m:e>
          </m:d>
        </m:oMath>
      </m:oMathPara>
      <w:bookmarkEnd w:id="33"/>
    </w:p>
    <w:p>
      <w:pPr>
        <w:pStyle w:val="FirstParagraph"/>
      </w:pPr>
      <w:r>
        <w:t xml:space="preserve">Eq. 2:</w:t>
      </w:r>
    </w:p>
    <w:p>
      <w:pPr>
        <w:pStyle w:val="BodyText"/>
      </w:pPr>
      <m:oMathPara>
        <m:oMathParaPr>
          <m:jc m:val="center"/>
        </m:oMathParaPr>
        <m:oMath>
          <m:r>
            <m:t>T</m:t>
          </m:r>
          <m:r>
            <m:t>o</m:t>
          </m:r>
          <m:r>
            <m:t>x</m:t>
          </m:r>
          <m:r>
            <m:t>P</m:t>
          </m:r>
          <m:r>
            <m:t>i</m:t>
          </m:r>
          <m:r>
            <m:rPr>
              <m:sty m:val="p"/>
            </m:rPr>
            <m:t>=</m:t>
          </m:r>
          <m:nary>
            <m:naryPr>
              <m:chr m:val="∑"/>
              <m:limLoc m:val="undOvr"/>
              <m:subHide m:val="0"/>
              <m:supHide m:val="0"/>
            </m:naryPr>
            <m:sub>
              <m:r>
                <m:t>1</m:t>
              </m:r>
            </m:sub>
            <m:sup>
              <m:r>
                <m:t>I</m:t>
              </m:r>
            </m:sup>
            <m:e>
              <m:r>
                <m:rPr>
                  <m:sty m:val="p"/>
                </m:rPr>
                <m:t>*</m:t>
              </m:r>
            </m:e>
          </m:nary>
          <m:r>
            <m:t>e</m:t>
          </m:r>
          <m:r>
            <m:t>n</m:t>
          </m:r>
          <m:r>
            <m:t>d</m:t>
          </m:r>
          <m:r>
            <m:t>p</m:t>
          </m:r>
          <m:r>
            <m:t>o</m:t>
          </m:r>
          <m:r>
            <m:t>i</m:t>
          </m:r>
          <m:r>
            <m:t>n</m:t>
          </m:r>
          <m:sSub>
            <m:e>
              <m:r>
                <m:t>t</m:t>
              </m:r>
            </m:e>
            <m:sub>
              <m:r>
                <m:t>i</m:t>
              </m:r>
            </m:sub>
          </m:sSub>
          <m:r>
            <m:rPr>
              <m:sty m:val="p"/>
            </m:rPr>
            <m:t>*</m:t>
          </m:r>
          <m:r>
            <m:t>w</m:t>
          </m:r>
          <m:r>
            <m:t>e</m:t>
          </m:r>
          <m:r>
            <m:t>i</m:t>
          </m:r>
          <m:r>
            <m:t>g</m:t>
          </m:r>
          <m:r>
            <m:t>h</m:t>
          </m:r>
          <m:sSub>
            <m:e>
              <m:r>
                <m:t>t</m:t>
              </m:r>
            </m:e>
            <m:sub>
              <m:r>
                <m:t>i</m:t>
              </m:r>
            </m:sub>
          </m:sSub>
          <m:r>
            <m:rPr>
              <m:sty m:val="p"/>
            </m:rPr>
            <m:t>+</m:t>
          </m:r>
          <m:r>
            <m:rPr>
              <m:sty m:val="p"/>
            </m:rPr>
            <m:t>.</m:t>
          </m:r>
          <m:r>
            <m:rPr>
              <m:sty m:val="p"/>
            </m:rPr>
            <m:t>.</m:t>
          </m:r>
          <m:r>
            <m:rPr>
              <m:sty m:val="p"/>
            </m:rPr>
            <m:t>.</m:t>
          </m:r>
          <m:r>
            <m:rPr>
              <m:sty m:val="p"/>
            </m:rPr>
            <m:t>+</m:t>
          </m:r>
          <m:nary>
            <m:naryPr>
              <m:chr m:val="∑"/>
              <m:limLoc m:val="undOvr"/>
              <m:subHide m:val="0"/>
              <m:supHide m:val="0"/>
            </m:naryPr>
            <m:sub>
              <m:r>
                <m:t>1</m:t>
              </m:r>
            </m:sub>
            <m:sup>
              <m:r>
                <m:t>N</m:t>
              </m:r>
            </m:sup>
            <m:e>
              <m:r>
                <m:rPr>
                  <m:sty m:val="p"/>
                </m:rPr>
                <m:t>*</m:t>
              </m:r>
            </m:e>
          </m:nary>
          <m:r>
            <m:t>e</m:t>
          </m:r>
          <m:r>
            <m:t>n</m:t>
          </m:r>
          <m:r>
            <m:t>d</m:t>
          </m:r>
          <m:r>
            <m:t>p</m:t>
          </m:r>
          <m:r>
            <m:t>o</m:t>
          </m:r>
          <m:r>
            <m:t>i</m:t>
          </m:r>
          <m:r>
            <m:t>n</m:t>
          </m:r>
          <m:sSub>
            <m:e>
              <m:r>
                <m:t>t</m:t>
              </m:r>
            </m:e>
            <m:sub>
              <m:r>
                <m:t>n</m:t>
              </m:r>
            </m:sub>
          </m:sSub>
          <m:r>
            <m:rPr>
              <m:sty m:val="p"/>
            </m:rPr>
            <m:t>*</m:t>
          </m:r>
          <m:r>
            <m:t>w</m:t>
          </m:r>
          <m:r>
            <m:t>e</m:t>
          </m:r>
          <m:r>
            <m:t>i</m:t>
          </m:r>
          <m:r>
            <m:t>g</m:t>
          </m:r>
          <m:r>
            <m:t>h</m:t>
          </m:r>
          <m:sSub>
            <m:e>
              <m:r>
                <m:t>t</m:t>
              </m:r>
            </m:e>
            <m:sub>
              <m:r>
                <m:t>n</m:t>
              </m:r>
            </m:sub>
          </m:sSub>
        </m:oMath>
      </m:oMathPara>
    </w:p>
    <w:p>
      <w:pPr>
        <w:pStyle w:val="FirstParagraph"/>
      </w:pPr>
      <w:r>
        <w:t xml:space="preserve">It should be noted that low performing (or compounds with a score of zero) compounds do</w:t>
      </w:r>
      <w:r>
        <w:t xml:space="preserve"> </w:t>
      </w:r>
      <w:r>
        <w:rPr>
          <w:bCs/>
          <w:b/>
        </w:rPr>
        <w:t xml:space="preserve">not</w:t>
      </w:r>
      <w:r>
        <w:t xml:space="preserve"> </w:t>
      </w:r>
      <w:r>
        <w:t xml:space="preserve">indicate a</w:t>
      </w:r>
      <w:r>
        <w:t xml:space="preserve"> </w:t>
      </w:r>
      <w:r>
        <w:rPr>
          <w:iCs/>
          <w:i/>
        </w:rPr>
        <w:t xml:space="preserve">lack</w:t>
      </w:r>
      <w:r>
        <w:t xml:space="preserve"> </w:t>
      </w:r>
      <w:r>
        <w:t xml:space="preserve">of associate hazard or risk, but rather a lack of information regarding these compounds.</w:t>
      </w:r>
    </w:p>
    <w:p>
      <w:pPr>
        <w:pStyle w:val="BodyText"/>
      </w:pPr>
      <w:r>
        <w:t xml:space="preserve">Eq. 1 is detailed in the function</w:t>
      </w:r>
      <w:r>
        <w:t xml:space="preserve"> </w:t>
      </w:r>
      <w:r>
        <w:rPr>
          <w:rStyle w:val="VerbatimChar"/>
        </w:rPr>
        <w:t xml:space="preserve">tp_single_score()</w:t>
      </w:r>
      <w:r>
        <w:t xml:space="preserve">, where a single vector (e.g.: a single column from a data frame) is evaluated. An additional parameter (disabled by default) is also included, which</w:t>
      </w:r>
      <w:r>
        <w:t xml:space="preserve"> </w:t>
      </w:r>
      <w:r>
        <w:t xml:space="preserve">‘</w:t>
      </w:r>
      <w:r>
        <w:t xml:space="preserve">backfills</w:t>
      </w:r>
      <w:r>
        <w:t xml:space="preserve">’</w:t>
      </w:r>
      <w:r>
        <w:t xml:space="preserve"> </w:t>
      </w:r>
      <w:r>
        <w:t xml:space="preserve">any compound that has a zero for that endpoint to the specified number. This could be the lowest non-zero response, the average, or the max of each endpoint. We feel this is an important option that should be used with care, as it could adversely affect the conclusions a user may draw.</w:t>
      </w:r>
    </w:p>
    <w:p>
      <w:pPr>
        <w:pStyle w:val="BodyText"/>
      </w:pPr>
      <w:r>
        <w:t xml:space="preserve">Eq. 2 is detailed in the function</w:t>
      </w:r>
      <w:r>
        <w:t xml:space="preserve"> </w:t>
      </w:r>
      <w:r>
        <w:rPr>
          <w:rStyle w:val="VerbatimChar"/>
        </w:rPr>
        <w:t xml:space="preserve">tp_combined_score()</w:t>
      </w:r>
      <w:r>
        <w:t xml:space="preserve">. Once a hazard comparison table has been generated, a user can request a relative prioritization based on the bias table. Should no bias table be specified, the function will proactively call the</w:t>
      </w:r>
      <w:r>
        <w:t xml:space="preserve"> </w:t>
      </w:r>
      <w:r>
        <w:rPr>
          <w:rStyle w:val="VerbatimChar"/>
        </w:rPr>
        <w:t xml:space="preserve">hc_endpoint_coverage()</w:t>
      </w:r>
      <w:r>
        <w:t xml:space="preserve"> </w:t>
      </w:r>
      <w:r>
        <w:t xml:space="preserve">function with filter cutoff parameter specified to 0.1. The ellipse argument (</w:t>
      </w:r>
      <w:r>
        <w:t xml:space="preserve"> </w:t>
      </w:r>
      <w:r>
        <w:rPr>
          <w:rStyle w:val="VerbatimChar"/>
        </w:rPr>
        <w:t xml:space="preserve">…</w:t>
      </w:r>
      <w:r>
        <w:t xml:space="preserve"> </w:t>
      </w:r>
      <w:r>
        <w:t xml:space="preserve">) allows for the</w:t>
      </w:r>
      <w:r>
        <w:t xml:space="preserve"> </w:t>
      </w:r>
      <w:r>
        <w:rPr>
          <w:rStyle w:val="VerbatimChar"/>
        </w:rPr>
        <w:t xml:space="preserve">back_fill</w:t>
      </w:r>
      <w:r>
        <w:t xml:space="preserve"> </w:t>
      </w:r>
      <w:r>
        <w:t xml:space="preserve">argument to be specified from the</w:t>
      </w:r>
      <w:r>
        <w:t xml:space="preserve"> </w:t>
      </w:r>
      <w:r>
        <w:rPr>
          <w:rStyle w:val="VerbatimChar"/>
        </w:rPr>
        <w:t xml:space="preserve">tp_single_score()</w:t>
      </w:r>
      <w:r>
        <w:t xml:space="preserve"> </w:t>
      </w:r>
      <w:r>
        <w:t xml:space="preserve">function.</w:t>
      </w:r>
    </w:p>
    <w:p>
      <w:pPr>
        <w:pStyle w:val="BodyText"/>
      </w:pPr>
      <w:r>
        <w:t xml:space="preserve">As an example, a subset from an included data set from the package (the list-object</w:t>
      </w:r>
      <w:r>
        <w:t xml:space="preserve"> </w:t>
      </w:r>
      <w:r>
        <w:rPr>
          <w:rStyle w:val="VerbatimChar"/>
        </w:rPr>
        <w:t xml:space="preserve">dtx_list</w:t>
      </w:r>
      <w:r>
        <w:t xml:space="preserve">) was used. An analysis of these compounds suggests that along the endpoints we have selected for (n = 12), Dazomet shows the highest relative risk, with (Z)-1,2-Dichloroethylene showing the lowest relative risk. This scoring is partially due to the amount of data being returned by each compound, with Dazomet having ~76% of the endpoints documented, and (Z)-1,2-Dichloroethylene having ~56% (see</w:t>
      </w:r>
      <w:r>
        <w:t xml:space="preserve"> </w:t>
      </w:r>
      <w:hyperlink w:anchor="tbl-hc-compound-coverage">
        <w:r>
          <w:rPr>
            <w:rStyle w:val="Hyperlink"/>
          </w:rPr>
          <w:t xml:space="preserve">Table 3</w:t>
        </w:r>
      </w:hyperlink>
      <w:r>
        <w:t xml:space="preserve">)</w:t>
      </w:r>
    </w:p>
    <w:p>
      <w:pPr>
        <w:pStyle w:val="SourceCode"/>
      </w:pPr>
      <w:r>
        <w:rPr>
          <w:rStyle w:val="CommentTok"/>
        </w:rPr>
        <w:t xml:space="preserve">#Backfill with 50% of the lowest non-zero response</w:t>
      </w:r>
      <w:r>
        <w:br/>
      </w:r>
      <w:r>
        <w:br/>
      </w:r>
      <w:r>
        <w:rPr>
          <w:rStyle w:val="NormalTok"/>
        </w:rPr>
        <w:t xml:space="preserve">df_tp </w:t>
      </w:r>
      <w:r>
        <w:rPr>
          <w:rStyle w:val="OtherTok"/>
        </w:rPr>
        <w:t xml:space="preserve">&lt;-</w:t>
      </w:r>
      <w:r>
        <w:rPr>
          <w:rStyle w:val="NormalTok"/>
        </w:rPr>
        <w:t xml:space="preserve"> </w:t>
      </w:r>
      <w:r>
        <w:rPr>
          <w:rStyle w:val="FunctionTok"/>
        </w:rPr>
        <w:t xml:space="preserve">tp_combined_score</w:t>
      </w:r>
      <w:r>
        <w:rPr>
          <w:rStyle w:val="NormalTok"/>
        </w:rPr>
        <w:t xml:space="preserve">(</w:t>
      </w:r>
      <w:r>
        <w:rPr>
          <w:rStyle w:val="AttributeTok"/>
        </w:rPr>
        <w:t xml:space="preserve">table =</w:t>
      </w:r>
      <w:r>
        <w:rPr>
          <w:rStyle w:val="NormalTok"/>
        </w:rPr>
        <w:t xml:space="preserve"> df, </w:t>
      </w:r>
      <w:r>
        <w:rPr>
          <w:rStyle w:val="AttributeTok"/>
        </w:rPr>
        <w:t xml:space="preserve">ID =</w:t>
      </w:r>
      <w:r>
        <w:rPr>
          <w:rStyle w:val="NormalTok"/>
        </w:rPr>
        <w:t xml:space="preserve"> </w:t>
      </w:r>
      <w:r>
        <w:rPr>
          <w:rStyle w:val="StringTok"/>
        </w:rPr>
        <w:t xml:space="preserve">'preferredName'</w:t>
      </w:r>
      <w:r>
        <w:rPr>
          <w:rStyle w:val="NormalTok"/>
        </w:rPr>
        <w:t xml:space="preserve">, </w:t>
      </w:r>
      <w:r>
        <w:rPr>
          <w:rStyle w:val="AttributeTok"/>
        </w:rPr>
        <w:t xml:space="preserve">bias =</w:t>
      </w:r>
      <w:r>
        <w:rPr>
          <w:rStyle w:val="NormalTok"/>
        </w:rPr>
        <w:t xml:space="preserve"> bias, </w:t>
      </w:r>
      <w:r>
        <w:rPr>
          <w:rStyle w:val="AttributeTok"/>
        </w:rPr>
        <w:t xml:space="preserve">back_fill =</w:t>
      </w:r>
      <w:r>
        <w:rPr>
          <w:rStyle w:val="NormalTok"/>
        </w:rPr>
        <w:t xml:space="preserve"> </w:t>
      </w:r>
      <w:r>
        <w:rPr>
          <w:rStyle w:val="StringTok"/>
        </w:rPr>
        <w:t xml:space="preserve">'half_min'</w:t>
      </w:r>
      <w:r>
        <w:rPr>
          <w:rStyle w:val="NormalTok"/>
        </w:rPr>
        <w:t xml:space="preserve">)</w:t>
      </w:r>
      <w:r>
        <w:br/>
      </w:r>
      <w:r>
        <w:br/>
      </w:r>
      <w:r>
        <w:rPr>
          <w:rStyle w:val="NormalTok"/>
        </w:rPr>
        <w:t xml:space="preserve">df_tp </w:t>
      </w:r>
      <w:r>
        <w:rPr>
          <w:rStyle w:val="SpecialCharTok"/>
        </w:rPr>
        <w:t xml:space="preserve">%&gt;%</w:t>
      </w:r>
      <w:r>
        <w:rPr>
          <w:rStyle w:val="NormalTok"/>
        </w:rPr>
        <w:t xml:space="preserve"> </w:t>
      </w:r>
      <w:r>
        <w:rPr>
          <w:rStyle w:val="FunctionTok"/>
        </w:rPr>
        <w:t xml:space="preserve">select</w:t>
      </w:r>
      <w:r>
        <w:rPr>
          <w:rStyle w:val="NormalTok"/>
        </w:rPr>
        <w:t xml:space="preserve">(preferredName, score)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(score))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position =</w:t>
      </w:r>
      <w:r>
        <w:rPr>
          <w:rStyle w:val="NormalTok"/>
        </w:rPr>
        <w:t xml:space="preserve"> </w:t>
      </w:r>
      <w:r>
        <w:rPr>
          <w:rStyle w:val="StringTok"/>
        </w:rPr>
        <w:t xml:space="preserve">"center"</w:t>
      </w:r>
      <w:r>
        <w:rPr>
          <w:rStyle w:val="NormalTok"/>
        </w:rPr>
        <w:t xml:space="preserve">)</w:t>
      </w:r>
    </w:p>
    <w:bookmarkStart w:id="34" w:name="tbl-tp"/>
    <w:p>
      <w:pPr>
        <w:pStyle w:val="TableCaption"/>
      </w:pPr>
      <w:r>
        <w:t xml:space="preserve">Table 5: ToxPi ranking</w:t>
      </w:r>
    </w:p>
    <w:tbl>
      <w:tblPr>
        <w:tblStyle w:val="Table"/>
        <w:tblW w:type="auto" w:w="0"/>
        <w:tblLook w:firstRow="1" w:lastRow="0" w:firstColumn="0" w:lastColumn="0" w:noHBand="0" w:noVBand="0" w:val="0020"/>
        <w:jc w:val="start"/>
        <w:tblCaption w:val="Table 5: ToxPi ranking"/>
      </w:tblPr>
      <w:tblGrid>
        <w:gridCol w:w="3960"/>
        <w:gridCol w:w="3960"/>
      </w:tblGrid>
      <w:tr>
        <w:trPr>
          <w:tblHeader w:val="true"/>
        </w:trPr>
        <w:tc>
          <w:tcPr/>
          <w:p>
            <w:pPr>
              <w:pStyle w:val="Compact"/>
              <w:jc w:val="left"/>
            </w:pPr>
            <w:r>
              <w:t xml:space="preserve">preferredName</w:t>
            </w:r>
          </w:p>
        </w:tc>
        <w:tc>
          <w:tcPr/>
          <w:p>
            <w:pPr>
              <w:pStyle w:val="Compact"/>
              <w:jc w:val="right"/>
            </w:pPr>
            <w:r>
              <w:t xml:space="preserve">score</w:t>
            </w:r>
          </w:p>
        </w:tc>
      </w:tr>
      <w:tr>
        <w:tc>
          <w:tcPr/>
          <w:p>
            <w:pPr>
              <w:pStyle w:val="Compact"/>
              <w:jc w:val="left"/>
            </w:pPr>
            <w:r>
              <w:t xml:space="preserve">Dazomet</w:t>
            </w:r>
          </w:p>
        </w:tc>
        <w:tc>
          <w:tcPr/>
          <w:p>
            <w:pPr>
              <w:pStyle w:val="Compact"/>
              <w:jc w:val="right"/>
            </w:pPr>
            <w:r>
              <w:t xml:space="preserve">6.9455</w:t>
            </w:r>
          </w:p>
        </w:tc>
      </w:tr>
      <w:tr>
        <w:tc>
          <w:tcPr/>
          <w:p>
            <w:pPr>
              <w:pStyle w:val="Compact"/>
              <w:jc w:val="left"/>
            </w:pPr>
            <w:r>
              <w:t xml:space="preserve">Benzene</w:t>
            </w:r>
          </w:p>
        </w:tc>
        <w:tc>
          <w:tcPr/>
          <w:p>
            <w:pPr>
              <w:pStyle w:val="Compact"/>
              <w:jc w:val="right"/>
            </w:pPr>
            <w:r>
              <w:t xml:space="preserve">6.6619</w:t>
            </w:r>
          </w:p>
        </w:tc>
      </w:tr>
      <w:tr>
        <w:tc>
          <w:tcPr/>
          <w:p>
            <w:pPr>
              <w:pStyle w:val="Compact"/>
              <w:jc w:val="left"/>
            </w:pPr>
            <w:r>
              <w:t xml:space="preserve">Perfluorooctanoic acid</w:t>
            </w:r>
          </w:p>
        </w:tc>
        <w:tc>
          <w:tcPr/>
          <w:p>
            <w:pPr>
              <w:pStyle w:val="Compact"/>
              <w:jc w:val="right"/>
            </w:pPr>
            <w:r>
              <w:t xml:space="preserve">6.1537</w:t>
            </w:r>
          </w:p>
        </w:tc>
      </w:tr>
      <w:tr>
        <w:tc>
          <w:tcPr/>
          <w:p>
            <w:pPr>
              <w:pStyle w:val="Compact"/>
              <w:jc w:val="left"/>
            </w:pPr>
            <w:r>
              <w:t xml:space="preserve">Bisphenol A</w:t>
            </w:r>
          </w:p>
        </w:tc>
        <w:tc>
          <w:tcPr/>
          <w:p>
            <w:pPr>
              <w:pStyle w:val="Compact"/>
              <w:jc w:val="right"/>
            </w:pPr>
            <w:r>
              <w:t xml:space="preserve">5.5471</w:t>
            </w:r>
          </w:p>
        </w:tc>
      </w:tr>
      <w:tr>
        <w:tc>
          <w:tcPr/>
          <w:p>
            <w:pPr>
              <w:pStyle w:val="Compact"/>
              <w:jc w:val="left"/>
            </w:pPr>
            <w:r>
              <w:t xml:space="preserve">Tamoxifen</w:t>
            </w:r>
          </w:p>
        </w:tc>
        <w:tc>
          <w:tcPr/>
          <w:p>
            <w:pPr>
              <w:pStyle w:val="Compact"/>
              <w:jc w:val="right"/>
            </w:pPr>
            <w:r>
              <w:t xml:space="preserve">5.4079</w:t>
            </w:r>
          </w:p>
        </w:tc>
      </w:tr>
      <w:tr>
        <w:tc>
          <w:tcPr/>
          <w:p>
            <w:pPr>
              <w:pStyle w:val="Compact"/>
              <w:jc w:val="left"/>
            </w:pPr>
            <w:r>
              <w:t xml:space="preserve">(Z)-1,2-Dichloroethylene</w:t>
            </w:r>
          </w:p>
        </w:tc>
        <w:tc>
          <w:tcPr/>
          <w:p>
            <w:pPr>
              <w:pStyle w:val="Compact"/>
              <w:jc w:val="right"/>
            </w:pPr>
            <w:r>
              <w:t xml:space="preserve">2.8528</w:t>
            </w:r>
          </w:p>
        </w:tc>
      </w:tr>
    </w:tbl>
    <w:bookmarkEnd w:id="34"/>
    <w:p>
      <w:pPr>
        <w:pStyle w:val="BodyText"/>
      </w:pPr>
      <w:r>
        <w:t xml:space="preserve">If we were to re-run the analysis to</w:t>
      </w:r>
      <w:r>
        <w:t xml:space="preserve"> </w:t>
      </w:r>
      <w:r>
        <w:rPr>
          <w:iCs/>
          <w:i/>
        </w:rPr>
        <w:t xml:space="preserve">only</w:t>
      </w:r>
      <w:r>
        <w:t xml:space="preserve"> </w:t>
      </w:r>
      <w:r>
        <w:t xml:space="preserve">examine endpoints that all shared inclusive coverage of all of the compounds, the results are detailed below. Of interest, PFOA and BPA are raised in ranking while Benzene is dropped in ranking within the list, indicating some overlapping parameter that may be of interest in the right context. While we recognize that this subset of compounds is not a realistic comparison, it still outlines the useful and subjectiveness of using the ToxPi approach for prioritization.</w:t>
      </w:r>
    </w:p>
    <w:p>
      <w:pPr>
        <w:pStyle w:val="SourceCode"/>
      </w:pPr>
      <w:r>
        <w:rPr>
          <w:rStyle w:val="NormalTok"/>
        </w:rPr>
        <w:t xml:space="preserve">bias2 </w:t>
      </w:r>
      <w:r>
        <w:rPr>
          <w:rStyle w:val="OtherTok"/>
        </w:rPr>
        <w:t xml:space="preserve">&lt;-</w:t>
      </w:r>
      <w:r>
        <w:rPr>
          <w:rStyle w:val="NormalTok"/>
        </w:rPr>
        <w:t xml:space="preserve"> </w:t>
      </w:r>
      <w:r>
        <w:rPr>
          <w:rStyle w:val="FunctionTok"/>
        </w:rPr>
        <w:t xml:space="preserve">hc_endpoint_coverage</w:t>
      </w:r>
      <w:r>
        <w:rPr>
          <w:rStyle w:val="NormalTok"/>
        </w:rPr>
        <w:t xml:space="preserve">(</w:t>
      </w:r>
      <w:r>
        <w:rPr>
          <w:rStyle w:val="AttributeTok"/>
        </w:rPr>
        <w:t xml:space="preserve">table =</w:t>
      </w:r>
      <w:r>
        <w:rPr>
          <w:rStyle w:val="NormalTok"/>
        </w:rPr>
        <w:t xml:space="preserve"> df, </w:t>
      </w:r>
      <w:r>
        <w:rPr>
          <w:rStyle w:val="AttributeTok"/>
        </w:rPr>
        <w:t xml:space="preserve">ID =</w:t>
      </w:r>
      <w:r>
        <w:rPr>
          <w:rStyle w:val="NormalTok"/>
        </w:rPr>
        <w:t xml:space="preserve"> </w:t>
      </w:r>
      <w:r>
        <w:rPr>
          <w:rStyle w:val="StringTok"/>
        </w:rPr>
        <w:t xml:space="preserve">'preferredName'</w:t>
      </w:r>
      <w:r>
        <w:rPr>
          <w:rStyle w:val="NormalTok"/>
        </w:rPr>
        <w:t xml:space="preserve">, </w:t>
      </w:r>
      <w:r>
        <w:rPr>
          <w:rStyle w:val="AttributeTok"/>
        </w:rPr>
        <w:t xml:space="preserve">suffix =</w:t>
      </w:r>
      <w:r>
        <w:rPr>
          <w:rStyle w:val="NormalTok"/>
        </w:rPr>
        <w:t xml:space="preserve"> </w:t>
      </w:r>
      <w:r>
        <w:rPr>
          <w:rStyle w:val="StringTok"/>
        </w:rPr>
        <w:t xml:space="preserve">'_amount'</w:t>
      </w:r>
      <w:r>
        <w:rPr>
          <w:rStyle w:val="NormalTok"/>
        </w:rPr>
        <w:t xml:space="preserve">)</w:t>
      </w:r>
    </w:p>
    <w:p>
      <w:pPr>
        <w:pStyle w:val="SourceCode"/>
      </w:pPr>
      <w:r>
        <w:br/>
      </w:r>
      <w:r>
        <w:rPr>
          <w:rStyle w:val="VerbatimChar"/>
        </w:rPr>
        <w:t xml:space="preserve">Defaulting to 0.5% score for cutoff!</w:t>
      </w:r>
    </w:p>
    <w:p>
      <w:pPr>
        <w:pStyle w:val="SourceCode"/>
      </w:pPr>
      <w:r>
        <w:rPr>
          <w:rStyle w:val="NormalTok"/>
        </w:rPr>
        <w:t xml:space="preserve">bias2</w:t>
      </w:r>
      <w:r>
        <w:rPr>
          <w:rStyle w:val="SpecialCharTok"/>
        </w:rPr>
        <w:t xml:space="preserve">$</w:t>
      </w:r>
      <w:r>
        <w:rPr>
          <w:rStyle w:val="NormalTok"/>
        </w:rPr>
        <w:t xml:space="preserve">weight[bias2</w:t>
      </w:r>
      <w:r>
        <w:rPr>
          <w:rStyle w:val="SpecialCharTok"/>
        </w:rPr>
        <w:t xml:space="preserve">$</w:t>
      </w:r>
      <w:r>
        <w:rPr>
          <w:rStyle w:val="NormalTok"/>
        </w:rPr>
        <w:t xml:space="preserve">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NormalTok"/>
        </w:rPr>
        <w:t xml:space="preserve">df_tp2 </w:t>
      </w:r>
      <w:r>
        <w:rPr>
          <w:rStyle w:val="OtherTok"/>
        </w:rPr>
        <w:t xml:space="preserve">&lt;-</w:t>
      </w:r>
      <w:r>
        <w:rPr>
          <w:rStyle w:val="NormalTok"/>
        </w:rPr>
        <w:t xml:space="preserve"> </w:t>
      </w:r>
      <w:r>
        <w:rPr>
          <w:rStyle w:val="FunctionTok"/>
        </w:rPr>
        <w:t xml:space="preserve">tp_combined_score</w:t>
      </w:r>
      <w:r>
        <w:rPr>
          <w:rStyle w:val="NormalTok"/>
        </w:rPr>
        <w:t xml:space="preserve">(</w:t>
      </w:r>
      <w:r>
        <w:rPr>
          <w:rStyle w:val="AttributeTok"/>
        </w:rPr>
        <w:t xml:space="preserve">table =</w:t>
      </w:r>
      <w:r>
        <w:rPr>
          <w:rStyle w:val="NormalTok"/>
        </w:rPr>
        <w:t xml:space="preserve"> df, </w:t>
      </w:r>
      <w:r>
        <w:rPr>
          <w:rStyle w:val="AttributeTok"/>
        </w:rPr>
        <w:t xml:space="preserve">ID =</w:t>
      </w:r>
      <w:r>
        <w:rPr>
          <w:rStyle w:val="NormalTok"/>
        </w:rPr>
        <w:t xml:space="preserve"> </w:t>
      </w:r>
      <w:r>
        <w:rPr>
          <w:rStyle w:val="StringTok"/>
        </w:rPr>
        <w:t xml:space="preserve">'preferredName'</w:t>
      </w:r>
      <w:r>
        <w:rPr>
          <w:rStyle w:val="NormalTok"/>
        </w:rPr>
        <w:t xml:space="preserve">, </w:t>
      </w:r>
      <w:r>
        <w:rPr>
          <w:rStyle w:val="AttributeTok"/>
        </w:rPr>
        <w:t xml:space="preserve">bias =</w:t>
      </w:r>
      <w:r>
        <w:rPr>
          <w:rStyle w:val="NormalTok"/>
        </w:rPr>
        <w:t xml:space="preserve"> bias2, </w:t>
      </w:r>
      <w:r>
        <w:rPr>
          <w:rStyle w:val="AttributeTok"/>
        </w:rPr>
        <w:t xml:space="preserve">back_fill =</w:t>
      </w:r>
      <w:r>
        <w:rPr>
          <w:rStyle w:val="NormalTok"/>
        </w:rPr>
        <w:t xml:space="preserve"> </w:t>
      </w:r>
      <w:r>
        <w:rPr>
          <w:rStyle w:val="StringTok"/>
        </w:rPr>
        <w:t xml:space="preserve">'half_min'</w:t>
      </w:r>
      <w:r>
        <w:rPr>
          <w:rStyle w:val="NormalTok"/>
        </w:rPr>
        <w:t xml:space="preserve">)</w:t>
      </w:r>
      <w:r>
        <w:br/>
      </w:r>
      <w:r>
        <w:rPr>
          <w:rStyle w:val="NormalTok"/>
        </w:rPr>
        <w:t xml:space="preserve">df_tp2 </w:t>
      </w:r>
      <w:r>
        <w:rPr>
          <w:rStyle w:val="SpecialCharTok"/>
        </w:rPr>
        <w:t xml:space="preserve">%&gt;%</w:t>
      </w:r>
      <w:r>
        <w:rPr>
          <w:rStyle w:val="NormalTok"/>
        </w:rPr>
        <w:t xml:space="preserve"> </w:t>
      </w:r>
      <w:r>
        <w:rPr>
          <w:rStyle w:val="FunctionTok"/>
        </w:rPr>
        <w:t xml:space="preserve">select</w:t>
      </w:r>
      <w:r>
        <w:rPr>
          <w:rStyle w:val="NormalTok"/>
        </w:rPr>
        <w:t xml:space="preserve">(preferredName, score)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(score))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position =</w:t>
      </w:r>
      <w:r>
        <w:rPr>
          <w:rStyle w:val="NormalTok"/>
        </w:rPr>
        <w:t xml:space="preserve"> </w:t>
      </w:r>
      <w:r>
        <w:rPr>
          <w:rStyle w:val="StringTok"/>
        </w:rPr>
        <w:t xml:space="preserve">"center"</w:t>
      </w:r>
      <w:r>
        <w:rPr>
          <w:rStyle w:val="NormalTok"/>
        </w:rPr>
        <w:t xml:space="preserve">)</w:t>
      </w:r>
    </w:p>
    <w:bookmarkStart w:id="35" w:name="tbl-tp2"/>
    <w:p>
      <w:pPr>
        <w:pStyle w:val="TableCaption"/>
      </w:pPr>
      <w:r>
        <w:t xml:space="preserve">Table 6: Adjusted ToxPi ranking</w:t>
      </w:r>
    </w:p>
    <w:tbl>
      <w:tblPr>
        <w:tblStyle w:val="Table"/>
        <w:tblW w:type="auto" w:w="0"/>
        <w:tblLook w:firstRow="1" w:lastRow="0" w:firstColumn="0" w:lastColumn="0" w:noHBand="0" w:noVBand="0" w:val="0020"/>
        <w:jc w:val="start"/>
        <w:tblCaption w:val="Table 6: Adjusted ToxPi ranking"/>
      </w:tblPr>
      <w:tblGrid>
        <w:gridCol w:w="3960"/>
        <w:gridCol w:w="3960"/>
      </w:tblGrid>
      <w:tr>
        <w:trPr>
          <w:tblHeader w:val="true"/>
        </w:trPr>
        <w:tc>
          <w:tcPr/>
          <w:p>
            <w:pPr>
              <w:pStyle w:val="Compact"/>
              <w:jc w:val="left"/>
            </w:pPr>
            <w:r>
              <w:t xml:space="preserve">preferredName</w:t>
            </w:r>
          </w:p>
        </w:tc>
        <w:tc>
          <w:tcPr/>
          <w:p>
            <w:pPr>
              <w:pStyle w:val="Compact"/>
              <w:jc w:val="right"/>
            </w:pPr>
            <w:r>
              <w:t xml:space="preserve">score</w:t>
            </w:r>
          </w:p>
        </w:tc>
      </w:tr>
      <w:tr>
        <w:tc>
          <w:tcPr/>
          <w:p>
            <w:pPr>
              <w:pStyle w:val="Compact"/>
              <w:jc w:val="left"/>
            </w:pPr>
            <w:r>
              <w:t xml:space="preserve">Dazomet</w:t>
            </w:r>
          </w:p>
        </w:tc>
        <w:tc>
          <w:tcPr/>
          <w:p>
            <w:pPr>
              <w:pStyle w:val="Compact"/>
              <w:jc w:val="right"/>
            </w:pPr>
            <w:r>
              <w:t xml:space="preserve">2.5514</w:t>
            </w:r>
          </w:p>
        </w:tc>
      </w:tr>
      <w:tr>
        <w:tc>
          <w:tcPr/>
          <w:p>
            <w:pPr>
              <w:pStyle w:val="Compact"/>
              <w:jc w:val="left"/>
            </w:pPr>
            <w:r>
              <w:t xml:space="preserve">Perfluorooctanoic acid</w:t>
            </w:r>
          </w:p>
        </w:tc>
        <w:tc>
          <w:tcPr/>
          <w:p>
            <w:pPr>
              <w:pStyle w:val="Compact"/>
              <w:jc w:val="right"/>
            </w:pPr>
            <w:r>
              <w:t xml:space="preserve">2.1537</w:t>
            </w:r>
          </w:p>
        </w:tc>
      </w:tr>
      <w:tr>
        <w:tc>
          <w:tcPr/>
          <w:p>
            <w:pPr>
              <w:pStyle w:val="Compact"/>
              <w:jc w:val="left"/>
            </w:pPr>
            <w:r>
              <w:t xml:space="preserve">Bisphenol A</w:t>
            </w:r>
          </w:p>
        </w:tc>
        <w:tc>
          <w:tcPr/>
          <w:p>
            <w:pPr>
              <w:pStyle w:val="Compact"/>
              <w:jc w:val="right"/>
            </w:pPr>
            <w:r>
              <w:t xml:space="preserve">1.9119</w:t>
            </w:r>
          </w:p>
        </w:tc>
      </w:tr>
      <w:tr>
        <w:tc>
          <w:tcPr/>
          <w:p>
            <w:pPr>
              <w:pStyle w:val="Compact"/>
              <w:jc w:val="left"/>
            </w:pPr>
            <w:r>
              <w:t xml:space="preserve">Benzene</w:t>
            </w:r>
          </w:p>
        </w:tc>
        <w:tc>
          <w:tcPr/>
          <w:p>
            <w:pPr>
              <w:pStyle w:val="Compact"/>
              <w:jc w:val="right"/>
            </w:pPr>
            <w:r>
              <w:t xml:space="preserve">1.8972</w:t>
            </w:r>
          </w:p>
        </w:tc>
      </w:tr>
      <w:tr>
        <w:tc>
          <w:tcPr/>
          <w:p>
            <w:pPr>
              <w:pStyle w:val="Compact"/>
              <w:jc w:val="left"/>
            </w:pPr>
            <w:r>
              <w:t xml:space="preserve">Tamoxifen</w:t>
            </w:r>
          </w:p>
        </w:tc>
        <w:tc>
          <w:tcPr/>
          <w:p>
            <w:pPr>
              <w:pStyle w:val="Compact"/>
              <w:jc w:val="right"/>
            </w:pPr>
            <w:r>
              <w:t xml:space="preserve">1.4079</w:t>
            </w:r>
          </w:p>
        </w:tc>
      </w:tr>
      <w:tr>
        <w:tc>
          <w:tcPr/>
          <w:p>
            <w:pPr>
              <w:pStyle w:val="Compact"/>
              <w:jc w:val="left"/>
            </w:pPr>
            <w:r>
              <w:t xml:space="preserve">(Z)-1,2-Dichloroethylene</w:t>
            </w:r>
          </w:p>
        </w:tc>
        <w:tc>
          <w:tcPr/>
          <w:p>
            <w:pPr>
              <w:pStyle w:val="Compact"/>
              <w:jc w:val="right"/>
            </w:pPr>
            <w:r>
              <w:t xml:space="preserve">1.2463</w:t>
            </w:r>
          </w:p>
        </w:tc>
      </w:tr>
    </w:tbl>
    <w:bookmarkEnd w:id="35"/>
    <w:bookmarkEnd w:id="36"/>
    <w:bookmarkEnd w:id="37"/>
    <w:bookmarkStart w:id="45" w:name="Xdccbf4045e437d07714de79c9b09397b77e7d05"/>
    <w:p>
      <w:pPr>
        <w:pStyle w:val="Heading3"/>
      </w:pPr>
      <w:r>
        <w:t xml:space="preserve">Generalized Read-Across (GenRA) and ToxPrint Enrichment</w:t>
      </w:r>
    </w:p>
    <w:bookmarkStart w:id="42" w:name="genra"/>
    <w:p>
      <w:pPr>
        <w:pStyle w:val="Heading4"/>
      </w:pPr>
      <w:r>
        <w:t xml:space="preserve">GenRA</w:t>
      </w:r>
    </w:p>
    <w:p>
      <w:pPr>
        <w:pStyle w:val="FirstParagraph"/>
      </w:pPr>
      <w:r>
        <w:t xml:space="preserve">Read-Across is an approach thoroughly documented in the literature (</w:t>
      </w:r>
      <w:r>
        <w:t xml:space="preserve">@patlewicz_2023</w:t>
      </w:r>
      <w:r>
        <w:t xml:space="preserve">) for extrapolating from a data-rich</w:t>
      </w:r>
      <w:r>
        <w:t xml:space="preserve"> </w:t>
      </w:r>
      <w:r>
        <w:t xml:space="preserve">‘</w:t>
      </w:r>
      <w:r>
        <w:t xml:space="preserve">community</w:t>
      </w:r>
      <w:r>
        <w:t xml:space="preserve">’</w:t>
      </w:r>
      <w:r>
        <w:t xml:space="preserve"> </w:t>
      </w:r>
      <w:r>
        <w:t xml:space="preserve">to data-poor</w:t>
      </w:r>
      <w:r>
        <w:t xml:space="preserve"> </w:t>
      </w:r>
      <w:r>
        <w:t xml:space="preserve">‘</w:t>
      </w:r>
      <w:r>
        <w:t xml:space="preserve">individual</w:t>
      </w:r>
      <w:r>
        <w:t xml:space="preserve">’</w:t>
      </w:r>
      <w:r>
        <w:t xml:space="preserve"> </w:t>
      </w:r>
      <w:r>
        <w:t xml:space="preserve">for predictive purposes. We offer the functionality available to the public found at</w:t>
      </w:r>
      <w:r>
        <w:t xml:space="preserve"> </w:t>
      </w:r>
      <w:hyperlink r:id="rId38">
        <w:r>
          <w:rPr>
            <w:rStyle w:val="Hyperlink"/>
          </w:rPr>
          <w:t xml:space="preserve">https://comptox.epa.gov/genra/</w:t>
        </w:r>
      </w:hyperlink>
      <w:r>
        <w:t xml:space="preserve"> </w:t>
      </w:r>
      <w:r>
        <w:t xml:space="preserve">through this package for both single compound and batch-search functionality. We demonstrate here a typical workflow for using GenRA functions that would be analogous to the website experience.</w:t>
      </w:r>
    </w:p>
    <w:bookmarkStart w:id="41" w:name="basic-functionality"/>
    <w:p>
      <w:pPr>
        <w:pStyle w:val="Heading5"/>
      </w:pPr>
      <w:r>
        <w:t xml:space="preserve">Basic functionality</w:t>
      </w:r>
    </w:p>
    <w:p>
      <w:pPr>
        <w:pStyle w:val="FirstParagraph"/>
      </w:pPr>
      <w:r>
        <w:t xml:space="preserve">Like nearly all of the functions in this package, the starting point is a DTXSID for referencing a compound. Here, the DTXSID of Trimethylene glycol diacrylate is used. The other arguments are the fingerprint to find analogues by (Morgan [default], Torsion, ToxPrints, ToxCast, or ToxRef), filters to select the analogues by (compounds with or without data) and the number of analogs to return. In the example, we’ve used the ToxPrint, and requested 10 analogs. The first row is our searched compound, with the most similar compounds following, as described by the Jaccard similarity metric.</w:t>
      </w:r>
    </w:p>
    <w:p>
      <w:pPr>
        <w:pStyle w:val="SourceCode"/>
      </w:pPr>
      <w:r>
        <w:rPr>
          <w:rStyle w:val="NormalTok"/>
        </w:rPr>
        <w:t xml:space="preserve">nn </w:t>
      </w:r>
      <w:r>
        <w:rPr>
          <w:rStyle w:val="OtherTok"/>
        </w:rPr>
        <w:t xml:space="preserve">&lt;-</w:t>
      </w:r>
      <w:r>
        <w:rPr>
          <w:rStyle w:val="NormalTok"/>
        </w:rPr>
        <w:t xml:space="preserve"> </w:t>
      </w:r>
      <w:r>
        <w:rPr>
          <w:rStyle w:val="FunctionTok"/>
        </w:rPr>
        <w:t xml:space="preserve">genra_nn</w:t>
      </w:r>
      <w:r>
        <w:rPr>
          <w:rStyle w:val="NormalTok"/>
        </w:rPr>
        <w:t xml:space="preserve">(</w:t>
      </w:r>
      <w:r>
        <w:rPr>
          <w:rStyle w:val="AttributeTok"/>
        </w:rPr>
        <w:t xml:space="preserve">query =</w:t>
      </w:r>
      <w:r>
        <w:rPr>
          <w:rStyle w:val="NormalTok"/>
        </w:rPr>
        <w:t xml:space="preserve"> </w:t>
      </w:r>
      <w:r>
        <w:rPr>
          <w:rStyle w:val="StringTok"/>
        </w:rPr>
        <w:t xml:space="preserve">'DTXSID2026107'</w:t>
      </w:r>
      <w:r>
        <w:rPr>
          <w:rStyle w:val="NormalTok"/>
        </w:rPr>
        <w:t xml:space="preserve">, </w:t>
      </w:r>
      <w:r>
        <w:rPr>
          <w:rStyle w:val="AttributeTok"/>
        </w:rPr>
        <w:t xml:space="preserve">fp =</w:t>
      </w:r>
      <w:r>
        <w:rPr>
          <w:rStyle w:val="NormalTok"/>
        </w:rPr>
        <w:t xml:space="preserve"> </w:t>
      </w:r>
      <w:r>
        <w:rPr>
          <w:rStyle w:val="StringTok"/>
        </w:rPr>
        <w:t xml:space="preserve">'chm_mrgn'</w:t>
      </w:r>
      <w:r>
        <w:rPr>
          <w:rStyle w:val="NormalTok"/>
        </w:rPr>
        <w:t xml:space="preserve">, </w:t>
      </w:r>
      <w:r>
        <w:rPr>
          <w:rStyle w:val="AttributeTok"/>
        </w:rPr>
        <w:t xml:space="preserve">sel_by =</w:t>
      </w:r>
      <w:r>
        <w:rPr>
          <w:rStyle w:val="NormalTok"/>
        </w:rPr>
        <w:t xml:space="preserve"> </w:t>
      </w:r>
      <w:r>
        <w:rPr>
          <w:rStyle w:val="StringTok"/>
        </w:rPr>
        <w:t xml:space="preserve">'tox_txrf'</w:t>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(jaccard, name, dsstox_sid, casrn, mol_weight)</w:t>
      </w:r>
    </w:p>
    <w:bookmarkStart w:id="39" w:name="tbl-genra-nn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jaccard</w:t>
            </w:r>
          </w:p>
        </w:tc>
        <w:tc>
          <w:tcPr/>
          <w:p>
            <w:pPr>
              <w:pStyle w:val="Compact"/>
              <w:jc w:val="left"/>
            </w:pPr>
            <w:r>
              <w:t xml:space="preserve">name</w:t>
            </w:r>
          </w:p>
        </w:tc>
        <w:tc>
          <w:tcPr/>
          <w:p>
            <w:pPr>
              <w:pStyle w:val="Compact"/>
              <w:jc w:val="left"/>
            </w:pPr>
            <w:r>
              <w:t xml:space="preserve">dsstox_sid</w:t>
            </w:r>
          </w:p>
        </w:tc>
        <w:tc>
          <w:tcPr/>
          <w:p>
            <w:pPr>
              <w:pStyle w:val="Compact"/>
              <w:jc w:val="left"/>
            </w:pPr>
            <w:r>
              <w:t xml:space="preserve">casrn</w:t>
            </w:r>
          </w:p>
        </w:tc>
        <w:tc>
          <w:tcPr/>
          <w:p>
            <w:pPr>
              <w:pStyle w:val="Compact"/>
              <w:jc w:val="right"/>
            </w:pPr>
            <w:r>
              <w:t xml:space="preserve">mol_weight</w:t>
            </w:r>
          </w:p>
        </w:tc>
      </w:tr>
      <w:tr>
        <w:tc>
          <w:tcPr/>
          <w:p>
            <w:pPr>
              <w:pStyle w:val="Compact"/>
              <w:jc w:val="right"/>
            </w:pPr>
            <w:r>
              <w:t xml:space="preserve">1.0000000</w:t>
            </w:r>
          </w:p>
        </w:tc>
        <w:tc>
          <w:tcPr/>
          <w:p>
            <w:pPr>
              <w:pStyle w:val="Compact"/>
              <w:jc w:val="left"/>
            </w:pPr>
            <w:r>
              <w:t xml:space="preserve">Tetraethylene glycol diacrylate</w:t>
            </w:r>
          </w:p>
        </w:tc>
        <w:tc>
          <w:tcPr/>
          <w:p>
            <w:pPr>
              <w:pStyle w:val="Compact"/>
              <w:jc w:val="left"/>
            </w:pPr>
            <w:r>
              <w:t xml:space="preserve">DTXSID2026107</w:t>
            </w:r>
          </w:p>
        </w:tc>
        <w:tc>
          <w:tcPr/>
          <w:p>
            <w:pPr>
              <w:pStyle w:val="Compact"/>
              <w:jc w:val="left"/>
            </w:pPr>
            <w:r>
              <w:t xml:space="preserve">17831-71-9</w:t>
            </w:r>
          </w:p>
        </w:tc>
        <w:tc>
          <w:tcPr/>
          <w:p>
            <w:pPr>
              <w:pStyle w:val="Compact"/>
              <w:jc w:val="right"/>
            </w:pPr>
            <w:r>
              <w:t xml:space="preserve">302.323</w:t>
            </w:r>
          </w:p>
        </w:tc>
      </w:tr>
      <w:tr>
        <w:tc>
          <w:tcPr/>
          <w:p>
            <w:pPr>
              <w:pStyle w:val="Compact"/>
              <w:jc w:val="right"/>
            </w:pPr>
            <w:r>
              <w:t xml:space="preserve">0.4827586</w:t>
            </w:r>
          </w:p>
        </w:tc>
        <w:tc>
          <w:tcPr/>
          <w:p>
            <w:pPr>
              <w:pStyle w:val="Compact"/>
              <w:jc w:val="left"/>
            </w:pPr>
            <w:r>
              <w:t xml:space="preserve">Ethyl acrylate</w:t>
            </w:r>
          </w:p>
        </w:tc>
        <w:tc>
          <w:tcPr/>
          <w:p>
            <w:pPr>
              <w:pStyle w:val="Compact"/>
              <w:jc w:val="left"/>
            </w:pPr>
            <w:r>
              <w:t xml:space="preserve">DTXSID4020583</w:t>
            </w:r>
          </w:p>
        </w:tc>
        <w:tc>
          <w:tcPr/>
          <w:p>
            <w:pPr>
              <w:pStyle w:val="Compact"/>
              <w:jc w:val="left"/>
            </w:pPr>
            <w:r>
              <w:t xml:space="preserve">140-88-5</w:t>
            </w:r>
          </w:p>
        </w:tc>
        <w:tc>
          <w:tcPr/>
          <w:p>
            <w:pPr>
              <w:pStyle w:val="Compact"/>
              <w:jc w:val="right"/>
            </w:pPr>
            <w:r>
              <w:t xml:space="preserve">100.117</w:t>
            </w:r>
          </w:p>
        </w:tc>
      </w:tr>
      <w:tr>
        <w:tc>
          <w:tcPr/>
          <w:p>
            <w:pPr>
              <w:pStyle w:val="Compact"/>
              <w:jc w:val="right"/>
            </w:pPr>
            <w:r>
              <w:t xml:space="preserve">0.3055556</w:t>
            </w:r>
          </w:p>
        </w:tc>
        <w:tc>
          <w:tcPr/>
          <w:p>
            <w:pPr>
              <w:pStyle w:val="Compact"/>
              <w:jc w:val="left"/>
            </w:pPr>
            <w:r>
              <w:t xml:space="preserve">Ethylene glycol monoethyl ether acetate</w:t>
            </w:r>
          </w:p>
        </w:tc>
        <w:tc>
          <w:tcPr/>
          <w:p>
            <w:pPr>
              <w:pStyle w:val="Compact"/>
              <w:jc w:val="left"/>
            </w:pPr>
            <w:r>
              <w:t xml:space="preserve">DTXSID9021928</w:t>
            </w:r>
          </w:p>
        </w:tc>
        <w:tc>
          <w:tcPr/>
          <w:p>
            <w:pPr>
              <w:pStyle w:val="Compact"/>
              <w:jc w:val="left"/>
            </w:pPr>
            <w:r>
              <w:t xml:space="preserve">111-15-9</w:t>
            </w:r>
          </w:p>
        </w:tc>
        <w:tc>
          <w:tcPr/>
          <w:p>
            <w:pPr>
              <w:pStyle w:val="Compact"/>
              <w:jc w:val="right"/>
            </w:pPr>
            <w:r>
              <w:t xml:space="preserve">132.159</w:t>
            </w:r>
          </w:p>
        </w:tc>
      </w:tr>
      <w:tr>
        <w:tc>
          <w:tcPr/>
          <w:p>
            <w:pPr>
              <w:pStyle w:val="Compact"/>
              <w:jc w:val="right"/>
            </w:pPr>
            <w:r>
              <w:t xml:space="preserve">0.2666667</w:t>
            </w:r>
          </w:p>
        </w:tc>
        <w:tc>
          <w:tcPr/>
          <w:p>
            <w:pPr>
              <w:pStyle w:val="Compact"/>
              <w:jc w:val="left"/>
            </w:pPr>
            <w:r>
              <w:t xml:space="preserve">Triethylene glycol dimethyl ether</w:t>
            </w:r>
          </w:p>
        </w:tc>
        <w:tc>
          <w:tcPr/>
          <w:p>
            <w:pPr>
              <w:pStyle w:val="Compact"/>
              <w:jc w:val="left"/>
            </w:pPr>
            <w:r>
              <w:t xml:space="preserve">DTXSID8026224</w:t>
            </w:r>
          </w:p>
        </w:tc>
        <w:tc>
          <w:tcPr/>
          <w:p>
            <w:pPr>
              <w:pStyle w:val="Compact"/>
              <w:jc w:val="left"/>
            </w:pPr>
            <w:r>
              <w:t xml:space="preserve">112-49-2</w:t>
            </w:r>
          </w:p>
        </w:tc>
        <w:tc>
          <w:tcPr/>
          <w:p>
            <w:pPr>
              <w:pStyle w:val="Compact"/>
              <w:jc w:val="right"/>
            </w:pPr>
            <w:r>
              <w:t xml:space="preserve">178.228</w:t>
            </w:r>
          </w:p>
        </w:tc>
      </w:tr>
      <w:tr>
        <w:tc>
          <w:tcPr/>
          <w:p>
            <w:pPr>
              <w:pStyle w:val="Compact"/>
              <w:jc w:val="right"/>
            </w:pPr>
            <w:r>
              <w:t xml:space="preserve">0.2666667</w:t>
            </w:r>
          </w:p>
        </w:tc>
        <w:tc>
          <w:tcPr/>
          <w:p>
            <w:pPr>
              <w:pStyle w:val="Compact"/>
              <w:jc w:val="left"/>
            </w:pPr>
            <w:r>
              <w:t xml:space="preserve">Triethylene glycol</w:t>
            </w:r>
          </w:p>
        </w:tc>
        <w:tc>
          <w:tcPr/>
          <w:p>
            <w:pPr>
              <w:pStyle w:val="Compact"/>
              <w:jc w:val="left"/>
            </w:pPr>
            <w:r>
              <w:t xml:space="preserve">DTXSID4021393</w:t>
            </w:r>
          </w:p>
        </w:tc>
        <w:tc>
          <w:tcPr/>
          <w:p>
            <w:pPr>
              <w:pStyle w:val="Compact"/>
              <w:jc w:val="left"/>
            </w:pPr>
            <w:r>
              <w:t xml:space="preserve">112-27-6</w:t>
            </w:r>
          </w:p>
        </w:tc>
        <w:tc>
          <w:tcPr/>
          <w:p>
            <w:pPr>
              <w:pStyle w:val="Compact"/>
              <w:jc w:val="right"/>
            </w:pPr>
            <w:r>
              <w:t xml:space="preserve">150.174</w:t>
            </w:r>
          </w:p>
        </w:tc>
      </w:tr>
      <w:tr>
        <w:tc>
          <w:tcPr/>
          <w:p>
            <w:pPr>
              <w:pStyle w:val="Compact"/>
              <w:jc w:val="right"/>
            </w:pPr>
            <w:r>
              <w:t xml:space="preserve">0.2500000</w:t>
            </w:r>
          </w:p>
        </w:tc>
        <w:tc>
          <w:tcPr/>
          <w:p>
            <w:pPr>
              <w:pStyle w:val="Compact"/>
              <w:jc w:val="left"/>
            </w:pPr>
            <w:r>
              <w:t xml:space="preserve">2-(2-Ethoxyethoxy)ethanol</w:t>
            </w:r>
          </w:p>
        </w:tc>
        <w:tc>
          <w:tcPr/>
          <w:p>
            <w:pPr>
              <w:pStyle w:val="Compact"/>
              <w:jc w:val="left"/>
            </w:pPr>
            <w:r>
              <w:t xml:space="preserve">DTXSID2021941</w:t>
            </w:r>
          </w:p>
        </w:tc>
        <w:tc>
          <w:tcPr/>
          <w:p>
            <w:pPr>
              <w:pStyle w:val="Compact"/>
              <w:jc w:val="left"/>
            </w:pPr>
            <w:r>
              <w:t xml:space="preserve">111-90-0</w:t>
            </w:r>
          </w:p>
        </w:tc>
        <w:tc>
          <w:tcPr/>
          <w:p>
            <w:pPr>
              <w:pStyle w:val="Compact"/>
              <w:jc w:val="right"/>
            </w:pPr>
            <w:r>
              <w:t xml:space="preserve">134.175</w:t>
            </w:r>
          </w:p>
        </w:tc>
      </w:tr>
      <w:tr>
        <w:tc>
          <w:tcPr/>
          <w:p>
            <w:pPr>
              <w:pStyle w:val="Compact"/>
              <w:jc w:val="right"/>
            </w:pPr>
            <w:r>
              <w:t xml:space="preserve">0.2500000</w:t>
            </w:r>
          </w:p>
        </w:tc>
        <w:tc>
          <w:tcPr/>
          <w:p>
            <w:pPr>
              <w:pStyle w:val="Compact"/>
              <w:jc w:val="left"/>
            </w:pPr>
            <w:r>
              <w:t xml:space="preserve">Acrylamide</w:t>
            </w:r>
          </w:p>
        </w:tc>
        <w:tc>
          <w:tcPr/>
          <w:p>
            <w:pPr>
              <w:pStyle w:val="Compact"/>
              <w:jc w:val="left"/>
            </w:pPr>
            <w:r>
              <w:t xml:space="preserve">DTXSID5020027</w:t>
            </w:r>
          </w:p>
        </w:tc>
        <w:tc>
          <w:tcPr/>
          <w:p>
            <w:pPr>
              <w:pStyle w:val="Compact"/>
              <w:jc w:val="left"/>
            </w:pPr>
            <w:r>
              <w:t xml:space="preserve">79-06-1</w:t>
            </w:r>
          </w:p>
        </w:tc>
        <w:tc>
          <w:tcPr/>
          <w:p>
            <w:pPr>
              <w:pStyle w:val="Compact"/>
              <w:jc w:val="right"/>
            </w:pPr>
            <w:r>
              <w:t xml:space="preserve">71.079</w:t>
            </w:r>
          </w:p>
        </w:tc>
      </w:tr>
      <w:tr>
        <w:tc>
          <w:tcPr/>
          <w:p>
            <w:pPr>
              <w:pStyle w:val="Compact"/>
              <w:jc w:val="right"/>
            </w:pPr>
            <w:r>
              <w:t xml:space="preserve">0.2333333</w:t>
            </w:r>
          </w:p>
        </w:tc>
        <w:tc>
          <w:tcPr/>
          <w:p>
            <w:pPr>
              <w:pStyle w:val="Compact"/>
              <w:jc w:val="left"/>
            </w:pPr>
            <w:r>
              <w:t xml:space="preserve">Diethylene glycol dimethyl ether</w:t>
            </w:r>
          </w:p>
        </w:tc>
        <w:tc>
          <w:tcPr/>
          <w:p>
            <w:pPr>
              <w:pStyle w:val="Compact"/>
              <w:jc w:val="left"/>
            </w:pPr>
            <w:r>
              <w:t xml:space="preserve">DTXSID1024621</w:t>
            </w:r>
          </w:p>
        </w:tc>
        <w:tc>
          <w:tcPr/>
          <w:p>
            <w:pPr>
              <w:pStyle w:val="Compact"/>
              <w:jc w:val="left"/>
            </w:pPr>
            <w:r>
              <w:t xml:space="preserve">111-96-6</w:t>
            </w:r>
          </w:p>
        </w:tc>
        <w:tc>
          <w:tcPr/>
          <w:p>
            <w:pPr>
              <w:pStyle w:val="Compact"/>
              <w:jc w:val="right"/>
            </w:pPr>
            <w:r>
              <w:t xml:space="preserve">134.175</w:t>
            </w:r>
          </w:p>
        </w:tc>
      </w:tr>
      <w:tr>
        <w:tc>
          <w:tcPr/>
          <w:p>
            <w:pPr>
              <w:pStyle w:val="Compact"/>
              <w:jc w:val="right"/>
            </w:pPr>
            <w:r>
              <w:t xml:space="preserve">0.2307692</w:t>
            </w:r>
          </w:p>
        </w:tc>
        <w:tc>
          <w:tcPr/>
          <w:p>
            <w:pPr>
              <w:pStyle w:val="Compact"/>
              <w:jc w:val="left"/>
            </w:pPr>
            <w:r>
              <w:t xml:space="preserve">2-(2-Butoxyethoxy)ethanol</w:t>
            </w:r>
          </w:p>
        </w:tc>
        <w:tc>
          <w:tcPr/>
          <w:p>
            <w:pPr>
              <w:pStyle w:val="Compact"/>
              <w:jc w:val="left"/>
            </w:pPr>
            <w:r>
              <w:t xml:space="preserve">DTXSID8021519</w:t>
            </w:r>
          </w:p>
        </w:tc>
        <w:tc>
          <w:tcPr/>
          <w:p>
            <w:pPr>
              <w:pStyle w:val="Compact"/>
              <w:jc w:val="left"/>
            </w:pPr>
            <w:r>
              <w:t xml:space="preserve">112-34-5</w:t>
            </w:r>
          </w:p>
        </w:tc>
        <w:tc>
          <w:tcPr/>
          <w:p>
            <w:pPr>
              <w:pStyle w:val="Compact"/>
              <w:jc w:val="right"/>
            </w:pPr>
            <w:r>
              <w:t xml:space="preserve">162.229</w:t>
            </w:r>
          </w:p>
        </w:tc>
      </w:tr>
      <w:tr>
        <w:tc>
          <w:tcPr/>
          <w:p>
            <w:pPr>
              <w:pStyle w:val="Compact"/>
              <w:jc w:val="right"/>
            </w:pPr>
            <w:r>
              <w:t xml:space="preserve">0.2285714</w:t>
            </w:r>
          </w:p>
        </w:tc>
        <w:tc>
          <w:tcPr/>
          <w:p>
            <w:pPr>
              <w:pStyle w:val="Compact"/>
              <w:jc w:val="left"/>
            </w:pPr>
            <w:r>
              <w:t xml:space="preserve">N,N'-Methylenebisacrylamide</w:t>
            </w:r>
          </w:p>
        </w:tc>
        <w:tc>
          <w:tcPr/>
          <w:p>
            <w:pPr>
              <w:pStyle w:val="Compact"/>
              <w:jc w:val="left"/>
            </w:pPr>
            <w:r>
              <w:t xml:space="preserve">DTXSID8025595</w:t>
            </w:r>
          </w:p>
        </w:tc>
        <w:tc>
          <w:tcPr/>
          <w:p>
            <w:pPr>
              <w:pStyle w:val="Compact"/>
              <w:jc w:val="left"/>
            </w:pPr>
            <w:r>
              <w:t xml:space="preserve">110-26-9</w:t>
            </w:r>
          </w:p>
        </w:tc>
        <w:tc>
          <w:tcPr/>
          <w:p>
            <w:pPr>
              <w:pStyle w:val="Compact"/>
              <w:jc w:val="right"/>
            </w:pPr>
            <w:r>
              <w:t xml:space="preserve">154.169</w:t>
            </w:r>
          </w:p>
        </w:tc>
      </w:tr>
      <w:tr>
        <w:tc>
          <w:tcPr/>
          <w:p>
            <w:pPr>
              <w:pStyle w:val="Compact"/>
              <w:jc w:val="right"/>
            </w:pPr>
            <w:r>
              <w:t xml:space="preserve">0.2222222</w:t>
            </w:r>
          </w:p>
        </w:tc>
        <w:tc>
          <w:tcPr/>
          <w:p>
            <w:pPr>
              <w:pStyle w:val="Compact"/>
              <w:jc w:val="left"/>
            </w:pPr>
            <w:r>
              <w:t xml:space="preserve">Diethylene glycol monomethyl ether</w:t>
            </w:r>
          </w:p>
        </w:tc>
        <w:tc>
          <w:tcPr/>
          <w:p>
            <w:pPr>
              <w:pStyle w:val="Compact"/>
              <w:jc w:val="left"/>
            </w:pPr>
            <w:r>
              <w:t xml:space="preserve">DTXSID3025049</w:t>
            </w:r>
          </w:p>
        </w:tc>
        <w:tc>
          <w:tcPr/>
          <w:p>
            <w:pPr>
              <w:pStyle w:val="Compact"/>
              <w:jc w:val="left"/>
            </w:pPr>
            <w:r>
              <w:t xml:space="preserve">111-77-3</w:t>
            </w:r>
          </w:p>
        </w:tc>
        <w:tc>
          <w:tcPr/>
          <w:p>
            <w:pPr>
              <w:pStyle w:val="Compact"/>
              <w:jc w:val="right"/>
            </w:pPr>
            <w:r>
              <w:t xml:space="preserve">120.148</w:t>
            </w:r>
          </w:p>
        </w:tc>
      </w:tr>
    </w:tbl>
    <w:p>
      <w:pPr>
        <w:pStyle w:val="BodyText"/>
      </w:pPr>
      <w:r>
        <w:rPr>
          <w:bCs/>
          <w:b/>
        </w:rPr>
        <w:t xml:space="preserve">?(caption)</w:t>
      </w:r>
    </w:p>
    <w:bookmarkEnd w:id="39"/>
    <w:p>
      <w:pPr>
        <w:pStyle w:val="BodyText"/>
      </w:pPr>
      <w:r>
        <w:t xml:space="preserve">We then request the read-across using the next function, with similar arguments. A subset of the output is displayed below. GenRA returns data that belongs to either the ToxCast database or the ToxRef database, where it is grouped by study outcomes. The groups are:</w:t>
      </w:r>
    </w:p>
    <w:p>
      <w:pPr>
        <w:numPr>
          <w:ilvl w:val="0"/>
          <w:numId w:val="1001"/>
        </w:numPr>
      </w:pPr>
      <w:r>
        <w:t xml:space="preserve">chronic toxicity (CHR)</w:t>
      </w:r>
    </w:p>
    <w:p>
      <w:pPr>
        <w:numPr>
          <w:ilvl w:val="0"/>
          <w:numId w:val="1001"/>
        </w:numPr>
      </w:pPr>
      <w:r>
        <w:t xml:space="preserve">developmental toxicity (DEV)</w:t>
      </w:r>
    </w:p>
    <w:p>
      <w:pPr>
        <w:numPr>
          <w:ilvl w:val="0"/>
          <w:numId w:val="1001"/>
        </w:numPr>
      </w:pPr>
      <w:r>
        <w:t xml:space="preserve">developmental neurotoxicity (DNT)</w:t>
      </w:r>
    </w:p>
    <w:p>
      <w:pPr>
        <w:numPr>
          <w:ilvl w:val="0"/>
          <w:numId w:val="1001"/>
        </w:numPr>
      </w:pPr>
      <w:r>
        <w:t xml:space="preserve">multigenerational toxicity (MGR)</w:t>
      </w:r>
    </w:p>
    <w:p>
      <w:pPr>
        <w:numPr>
          <w:ilvl w:val="0"/>
          <w:numId w:val="1001"/>
        </w:numPr>
      </w:pPr>
      <w:r>
        <w:t xml:space="preserve">neurotoxicity (NEU)</w:t>
      </w:r>
    </w:p>
    <w:p>
      <w:pPr>
        <w:numPr>
          <w:ilvl w:val="0"/>
          <w:numId w:val="1001"/>
        </w:numPr>
      </w:pPr>
      <w:r>
        <w:t xml:space="preserve">reproductive toxicity (REP)</w:t>
      </w:r>
    </w:p>
    <w:p>
      <w:pPr>
        <w:numPr>
          <w:ilvl w:val="0"/>
          <w:numId w:val="1001"/>
        </w:numPr>
      </w:pPr>
      <w:r>
        <w:t xml:space="preserve">acute toxicity (ACU)</w:t>
      </w:r>
    </w:p>
    <w:p>
      <w:pPr>
        <w:numPr>
          <w:ilvl w:val="0"/>
          <w:numId w:val="1001"/>
        </w:numPr>
      </w:pPr>
      <w:r>
        <w:t xml:space="preserve">subacute toxicity (SAC)</w:t>
      </w:r>
    </w:p>
    <w:p>
      <w:pPr>
        <w:numPr>
          <w:ilvl w:val="0"/>
          <w:numId w:val="1001"/>
        </w:numPr>
      </w:pPr>
      <w:r>
        <w:t xml:space="preserve">subchronic toxicity (SUB)</w:t>
      </w:r>
    </w:p>
    <w:p>
      <w:pPr>
        <w:numPr>
          <w:ilvl w:val="0"/>
          <w:numId w:val="1001"/>
        </w:numPr>
      </w:pPr>
      <w:r>
        <w:t xml:space="preserve">other (OTH) toxicity testing studies</w:t>
      </w:r>
    </w:p>
    <w:p>
      <w:pPr>
        <w:pStyle w:val="FirstParagraph"/>
      </w:pPr>
      <w:r>
        <w:t xml:space="preserve">The column</w:t>
      </w:r>
      <w:r>
        <w:t xml:space="preserve"> </w:t>
      </w:r>
      <w:r>
        <w:t xml:space="preserve">‘</w:t>
      </w:r>
      <w:r>
        <w:t xml:space="preserve">observation</w:t>
      </w:r>
      <w:r>
        <w:t xml:space="preserve">’</w:t>
      </w:r>
      <w:r>
        <w:t xml:space="preserve"> </w:t>
      </w:r>
      <w:r>
        <w:t xml:space="preserve">details the queried compound’s experimental results for that study design (if available), while the</w:t>
      </w:r>
      <w:r>
        <w:t xml:space="preserve"> </w:t>
      </w:r>
      <w:r>
        <w:t xml:space="preserve">‘</w:t>
      </w:r>
      <w:r>
        <w:t xml:space="preserve">pred resp</w:t>
      </w:r>
      <w:r>
        <w:t xml:space="preserve">’</w:t>
      </w:r>
      <w:r>
        <w:t xml:space="preserve"> </w:t>
      </w:r>
      <w:r>
        <w:t xml:space="preserve">is a predicted response (operating in a binary outcome).</w:t>
      </w:r>
    </w:p>
    <w:bookmarkStart w:id="40" w:name="tbl-genra-ra"/>
    <w:p>
      <w:pPr>
        <w:pStyle w:val="TableCaption"/>
      </w:pPr>
      <w:r>
        <w:t xml:space="preserve">Table 7: Read-Across Predictions for Tetraethylene glycol diacrylate</w:t>
      </w:r>
    </w:p>
    <w:tbl>
      <w:tblPr>
        <w:tblStyle w:val="Table"/>
        <w:tblW w:type="auto" w:w="0"/>
        <w:tblLook w:firstRow="1" w:lastRow="0" w:firstColumn="0" w:lastColumn="0" w:noHBand="0" w:noVBand="0" w:val="0020"/>
        <w:jc w:val="start"/>
        <w:tblCaption w:val="Table 7: Read-Across Predictions for Tetraethylene glycol diacrylate"/>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effect_desc</w:t>
            </w:r>
          </w:p>
        </w:tc>
        <w:tc>
          <w:tcPr/>
          <w:p>
            <w:pPr>
              <w:pStyle w:val="Compact"/>
              <w:jc w:val="left"/>
            </w:pPr>
            <w:r>
              <w:t xml:space="preserve">observation</w:t>
            </w:r>
          </w:p>
        </w:tc>
        <w:tc>
          <w:tcPr/>
          <w:p>
            <w:pPr>
              <w:pStyle w:val="Compact"/>
              <w:jc w:val="left"/>
            </w:pPr>
            <w:r>
              <w:t xml:space="preserve">pred resp</w:t>
            </w:r>
          </w:p>
        </w:tc>
      </w:tr>
      <w:tr>
        <w:tc>
          <w:tcPr/>
          <w:p>
            <w:pPr>
              <w:pStyle w:val="Compact"/>
              <w:jc w:val="left"/>
            </w:pPr>
            <w:r>
              <w:t xml:space="preserve">CHR:adrenal gland</w:t>
            </w:r>
          </w:p>
        </w:tc>
        <w:tc>
          <w:tcPr/>
          <w:p>
            <w:pPr>
              <w:pStyle w:val="Compact"/>
              <w:jc w:val="left"/>
            </w:pPr>
            <w:r>
              <w:t xml:space="preserve">Chronic adrenal gland</w:t>
            </w:r>
          </w:p>
        </w:tc>
        <w:tc>
          <w:tcPr/>
          <w:p>
            <w:pPr>
              <w:pStyle w:val="Compact"/>
              <w:jc w:val="left"/>
            </w:pPr>
            <w:r>
              <w:t xml:space="preserve">no_data</w:t>
            </w:r>
          </w:p>
        </w:tc>
        <w:tc>
          <w:tcPr/>
          <w:p>
            <w:pPr>
              <w:pStyle w:val="Compact"/>
              <w:jc w:val="left"/>
            </w:pPr>
            <w:r>
              <w:t xml:space="preserve">Neg</w:t>
            </w:r>
          </w:p>
        </w:tc>
      </w:tr>
      <w:tr>
        <w:tc>
          <w:tcPr/>
          <w:p>
            <w:pPr>
              <w:pStyle w:val="Compact"/>
              <w:jc w:val="left"/>
            </w:pPr>
            <w:r>
              <w:t xml:space="preserve">CHR:body weight</w:t>
            </w:r>
          </w:p>
        </w:tc>
        <w:tc>
          <w:tcPr/>
          <w:p>
            <w:pPr>
              <w:pStyle w:val="Compact"/>
              <w:jc w:val="left"/>
            </w:pPr>
            <w:r>
              <w:t xml:space="preserve">Chronic body weight</w:t>
            </w:r>
          </w:p>
        </w:tc>
        <w:tc>
          <w:tcPr/>
          <w:p>
            <w:pPr>
              <w:pStyle w:val="Compact"/>
              <w:jc w:val="left"/>
            </w:pPr>
            <w:r>
              <w:t xml:space="preserve">no_data</w:t>
            </w:r>
          </w:p>
        </w:tc>
        <w:tc>
          <w:tcPr/>
          <w:p>
            <w:pPr>
              <w:pStyle w:val="Compact"/>
              <w:jc w:val="left"/>
            </w:pPr>
            <w:r>
              <w:t xml:space="preserve">Pos</w:t>
            </w:r>
          </w:p>
        </w:tc>
      </w:tr>
      <w:tr>
        <w:tc>
          <w:tcPr/>
          <w:p>
            <w:pPr>
              <w:pStyle w:val="Compact"/>
              <w:jc w:val="left"/>
            </w:pPr>
            <w:r>
              <w:t xml:space="preserve">CHR:bone</w:t>
            </w:r>
          </w:p>
        </w:tc>
        <w:tc>
          <w:tcPr/>
          <w:p>
            <w:pPr>
              <w:pStyle w:val="Compact"/>
              <w:jc w:val="left"/>
            </w:pPr>
            <w:r>
              <w:t xml:space="preserve">Chronic bone: Example effects include fibro-osseous lesions, hyperplasia, hyperostosis, hypertrophy, myelofibrosis, inflammation, osteodystrophy, osteofibrosis, osteosarcoma, and osteosclerosis.</w:t>
            </w:r>
          </w:p>
        </w:tc>
        <w:tc>
          <w:tcPr/>
          <w:p>
            <w:pPr>
              <w:pStyle w:val="Compact"/>
              <w:jc w:val="left"/>
            </w:pPr>
            <w:r>
              <w:t xml:space="preserve">no_data</w:t>
            </w:r>
          </w:p>
        </w:tc>
        <w:tc>
          <w:tcPr/>
          <w:p>
            <w:pPr>
              <w:pStyle w:val="Compact"/>
              <w:jc w:val="left"/>
            </w:pPr>
            <w:r>
              <w:t xml:space="preserve">Neg</w:t>
            </w:r>
          </w:p>
        </w:tc>
      </w:tr>
      <w:tr>
        <w:tc>
          <w:tcPr/>
          <w:p>
            <w:pPr>
              <w:pStyle w:val="Compact"/>
              <w:jc w:val="left"/>
            </w:pPr>
            <w:r>
              <w:t xml:space="preserve">CHR:brain</w:t>
            </w:r>
          </w:p>
        </w:tc>
        <w:tc>
          <w:tcPr/>
          <w:p>
            <w:pPr>
              <w:pStyle w:val="Compact"/>
              <w:jc w:val="left"/>
            </w:pPr>
            <w:r>
              <w:t xml:space="preserve">Chronic brain</w:t>
            </w:r>
          </w:p>
        </w:tc>
        <w:tc>
          <w:tcPr/>
          <w:p>
            <w:pPr>
              <w:pStyle w:val="Compact"/>
              <w:jc w:val="left"/>
            </w:pPr>
            <w:r>
              <w:t xml:space="preserve">no_data</w:t>
            </w:r>
          </w:p>
        </w:tc>
        <w:tc>
          <w:tcPr/>
          <w:p>
            <w:pPr>
              <w:pStyle w:val="Compact"/>
              <w:jc w:val="left"/>
            </w:pPr>
            <w:r>
              <w:t xml:space="preserve">Neg</w:t>
            </w:r>
          </w:p>
        </w:tc>
      </w:tr>
    </w:tbl>
    <w:bookmarkEnd w:id="40"/>
    <w:p>
      <w:pPr>
        <w:pStyle w:val="BodyText"/>
      </w:pPr>
      <w:r>
        <w:t xml:space="preserve">Should a user desire it, a generic read-across function</w:t>
      </w:r>
      <w:r>
        <w:t xml:space="preserve"> </w:t>
      </w:r>
      <w:r>
        <w:rPr>
          <w:rStyle w:val="VerbatimChar"/>
        </w:rPr>
        <w:t xml:space="preserve">read_across()</w:t>
      </w:r>
      <w:r>
        <w:t xml:space="preserve"> </w:t>
      </w:r>
      <w:r>
        <w:t xml:space="preserve">is provided to generate a prediction based on other data (e.g.: LD50 values) leveraging the GenRA’s ability to fingerprint and find similar compounds, but currently relies on a user to provide the data.</w:t>
      </w:r>
    </w:p>
    <w:bookmarkEnd w:id="41"/>
    <w:bookmarkEnd w:id="42"/>
    <w:bookmarkStart w:id="44" w:name="toxprint-enrichment"/>
    <w:p>
      <w:pPr>
        <w:pStyle w:val="Heading4"/>
      </w:pPr>
      <w:r>
        <w:t xml:space="preserve">ToxPrint Enrichment</w:t>
      </w:r>
    </w:p>
    <w:p>
      <w:pPr>
        <w:pStyle w:val="FirstParagraph"/>
      </w:pPr>
      <w:r>
        <w:t xml:space="preserve">Accurate depiction of chemicals is an important when operating in the cheminformatic space. As such, through both the CCD and GenRA, the ability to generate molecular fingerprints are provided. These fingerprints provide ways of describing complex 3D molecular features into a machine-readable format. One such method is the open-source XML-based</w:t>
      </w:r>
      <w:r>
        <w:t xml:space="preserve"> </w:t>
      </w:r>
      <w:r>
        <w:t xml:space="preserve">‘</w:t>
      </w:r>
      <w:r>
        <w:t xml:space="preserve">Chemical Subgraphs and Reactions Markup Language (CSRML)</w:t>
      </w:r>
      <w:r>
        <w:t xml:space="preserve">’</w:t>
      </w:r>
      <w:r>
        <w:t xml:space="preserve"> </w:t>
      </w:r>
      <w:r>
        <w:t xml:space="preserve">. As detailed by</w:t>
      </w:r>
      <w:r>
        <w:t xml:space="preserve"> </w:t>
      </w:r>
      <w:r>
        <w:t xml:space="preserve">@yang_2015</w:t>
      </w:r>
      <w:r>
        <w:t xml:space="preserve">, these predefined molecular descriptors describe not only atom, bonds, electron systems, and molecules, but can also address issues such as topology or complex connectivity. Part of this novel method of describing compounds allows it to be extended to the extrapolation of</w:t>
      </w:r>
      <w:r>
        <w:t xml:space="preserve"> </w:t>
      </w:r>
      <w:r>
        <w:rPr>
          <w:iCs/>
          <w:i/>
        </w:rPr>
        <w:t xml:space="preserve">in-vitro</w:t>
      </w:r>
      <w:r>
        <w:t xml:space="preserve"> </w:t>
      </w:r>
      <w:r>
        <w:t xml:space="preserve">bioassays (@wang_2019a). Here, we’ve reproduced the ToxPrint Enrichment workflow as found on the Cheminformatics web application (</w:t>
      </w:r>
      <w:hyperlink r:id="rId43">
        <w:r>
          <w:rPr>
            <w:rStyle w:val="Hyperlink"/>
          </w:rPr>
          <w:t xml:space="preserve">https://www.epa.gov/chemical-research/cheminformatics</w:t>
        </w:r>
      </w:hyperlink>
      <w:r>
        <w:t xml:space="preserve">). A user can upload compounds, where the Toxprint fingerprints are retrieved by the GenRA service.</w:t>
      </w:r>
    </w:p>
    <w:bookmarkEnd w:id="44"/>
    <w:bookmarkEnd w:id="45"/>
    <w:bookmarkStart w:id="46" w:name="non-targeted-analysis-compound-searching"/>
    <w:p>
      <w:pPr>
        <w:pStyle w:val="Heading3"/>
      </w:pPr>
      <w:r>
        <w:t xml:space="preserve">Non-Targeted Analysis Compound Searching</w:t>
      </w:r>
    </w:p>
    <w:p>
      <w:pPr>
        <w:pStyle w:val="FirstParagraph"/>
      </w:pPr>
      <w:r>
        <w:t xml:space="preserve">To better assist in the hazard and risk management space, several functions are suggested for use. For searching by mass range or by a generic formula, the functions</w:t>
      </w:r>
      <w:r>
        <w:t xml:space="preserve"> </w:t>
      </w:r>
      <w:r>
        <w:rPr>
          <w:rStyle w:val="VerbatimChar"/>
        </w:rPr>
        <w:t xml:space="preserve">ct_search_mass()</w:t>
      </w:r>
      <w:r>
        <w:t xml:space="preserve"> </w:t>
      </w:r>
      <w:r>
        <w:t xml:space="preserve">and</w:t>
      </w:r>
      <w:r>
        <w:t xml:space="preserve"> </w:t>
      </w:r>
      <w:r>
        <w:rPr>
          <w:rStyle w:val="VerbatimChar"/>
        </w:rPr>
        <w:t xml:space="preserve">ct_search_formula()</w:t>
      </w:r>
      <w:r>
        <w:t xml:space="preserve"> </w:t>
      </w:r>
      <w:r>
        <w:t xml:space="preserve">are able to be leveraged. Users are able to then subset the resulting data to their liking.</w:t>
      </w:r>
    </w:p>
    <w:p>
      <w:pPr>
        <w:pStyle w:val="SourceCode"/>
      </w:pPr>
      <w:r>
        <w:rPr>
          <w:rStyle w:val="CommentTok"/>
        </w:rPr>
        <w:t xml:space="preserve">#Searching by mass range</w:t>
      </w:r>
      <w:r>
        <w:br/>
      </w:r>
      <w:r>
        <w:rPr>
          <w:rStyle w:val="FunctionTok"/>
        </w:rPr>
        <w:t xml:space="preserve">ct_search_mass</w:t>
      </w:r>
      <w:r>
        <w:rPr>
          <w:rStyle w:val="NormalTok"/>
        </w:rPr>
        <w:t xml:space="preserve">(</w:t>
      </w:r>
      <w:r>
        <w:rPr>
          <w:rStyle w:val="AttributeTok"/>
        </w:rPr>
        <w:t xml:space="preserve">start =</w:t>
      </w:r>
      <w:r>
        <w:rPr>
          <w:rStyle w:val="NormalTok"/>
        </w:rPr>
        <w:t xml:space="preserve"> </w:t>
      </w:r>
      <w:r>
        <w:rPr>
          <w:rStyle w:val="FloatTok"/>
        </w:rPr>
        <w:t xml:space="preserve">413.9</w:t>
      </w:r>
      <w:r>
        <w:rPr>
          <w:rStyle w:val="NormalTok"/>
        </w:rPr>
        <w:t xml:space="preserve">, </w:t>
      </w:r>
      <w:r>
        <w:rPr>
          <w:rStyle w:val="AttributeTok"/>
        </w:rPr>
        <w:t xml:space="preserve">end =</w:t>
      </w:r>
      <w:r>
        <w:rPr>
          <w:rStyle w:val="NormalTok"/>
        </w:rPr>
        <w:t xml:space="preserve"> </w:t>
      </w:r>
      <w:r>
        <w:rPr>
          <w:rStyle w:val="DecValTok"/>
        </w:rPr>
        <w:t xml:space="preserve">414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(dtxsid, preferredName, casrn, molFormula)</w:t>
      </w:r>
    </w:p>
    <w:p>
      <w:pPr>
        <w:pStyle w:val="SourceCode"/>
      </w:pPr>
      <w:r>
        <w:rPr>
          <w:rStyle w:val="VerbatimChar"/>
        </w:rPr>
        <w:t xml:space="preserve">Searching for compound details....</w:t>
      </w:r>
    </w:p>
    <w:p>
      <w:pPr>
        <w:pStyle w:val="SourceCode"/>
      </w:pPr>
      <w:r>
        <w:rPr>
          <w:rStyle w:val="VerbatimChar"/>
        </w:rPr>
        <w:t xml:space="preserve"># A tibble: 108 x 4</w:t>
      </w:r>
      <w:r>
        <w:br/>
      </w:r>
      <w:r>
        <w:rPr>
          <w:rStyle w:val="VerbatimChar"/>
        </w:rPr>
        <w:t xml:space="preserve">   dtxsid         preferredName                                 casrn molFormula</w:t>
      </w:r>
      <w:r>
        <w:br/>
      </w:r>
      <w:r>
        <w:rPr>
          <w:rStyle w:val="VerbatimChar"/>
        </w:rPr>
        <w:t xml:space="preserve">   &lt;chr&gt;          &lt;chr&gt;                                         &lt;chr&gt; &lt;chr&gt;     </w:t>
      </w:r>
      <w:r>
        <w:br/>
      </w:r>
      <w:r>
        <w:rPr>
          <w:rStyle w:val="VerbatimChar"/>
        </w:rPr>
        <w:t xml:space="preserve"> 1 DTXSID00451957 1-Propanone, 2,3-dibromo-3-(3-chlorophenyl)-~ 6497~ C16H13Br2~</w:t>
      </w:r>
      <w:r>
        <w:br/>
      </w:r>
      <w:r>
        <w:rPr>
          <w:rStyle w:val="VerbatimChar"/>
        </w:rPr>
        <w:t xml:space="preserve"> 2 DTXSID00507665 2,2,3,3,4,4,5,5,6,6,7,7-Dodecafluoroheptyl s~ 2547~ C7H3ClF12~</w:t>
      </w:r>
      <w:r>
        <w:br/>
      </w:r>
      <w:r>
        <w:rPr>
          <w:rStyle w:val="VerbatimChar"/>
        </w:rPr>
        <w:t xml:space="preserve"> 3 DTXSID0058069  Phosdiphen                                    3651~ C14H11Cl4~</w:t>
      </w:r>
      <w:r>
        <w:br/>
      </w:r>
      <w:r>
        <w:rPr>
          <w:rStyle w:val="VerbatimChar"/>
        </w:rPr>
        <w:t xml:space="preserve"> 4 DTXSID00825437 5-Hydroxy-4-oxo-3-[2-(1H-pyrazol-5-yl)hydraz~ 7174~ C13H10N4O~</w:t>
      </w:r>
      <w:r>
        <w:br/>
      </w:r>
      <w:r>
        <w:rPr>
          <w:rStyle w:val="VerbatimChar"/>
        </w:rPr>
        <w:t xml:space="preserve"> 5 DTXSID00896581 Perfluoro-2,3,3-trimethylpentanoic acid       1882~ C8HF15O2  </w:t>
      </w:r>
      <w:r>
        <w:br/>
      </w:r>
      <w:r>
        <w:rPr>
          <w:rStyle w:val="VerbatimChar"/>
        </w:rPr>
        <w:t xml:space="preserve"> 6 DTXSID00896586 Perfluoro-2-(propan-2-yl)pentanoic acid       1882~ C8HF15O2  </w:t>
      </w:r>
      <w:r>
        <w:br/>
      </w:r>
      <w:r>
        <w:rPr>
          <w:rStyle w:val="VerbatimChar"/>
        </w:rPr>
        <w:t xml:space="preserve"> 7 DTXSID00896602 Perfluoro-2,2-dimethylhexanoic acid           1812~ C8HF15O2  </w:t>
      </w:r>
      <w:r>
        <w:br/>
      </w:r>
      <w:r>
        <w:rPr>
          <w:rStyle w:val="VerbatimChar"/>
        </w:rPr>
        <w:t xml:space="preserve"> 8 DTXSID10294599 Dibutyl 2,3,5,6-tetrachlorobenzene-1,4-dicar~ 3823~ C16H18Cl4~</w:t>
      </w:r>
      <w:r>
        <w:br/>
      </w:r>
      <w:r>
        <w:rPr>
          <w:rStyle w:val="VerbatimChar"/>
        </w:rPr>
        <w:t xml:space="preserve"> 9 DTXSID10471969 Diselenide, di-2-naphthalenyl                 1793~ C20H14Se2 </w:t>
      </w:r>
      <w:r>
        <w:br/>
      </w:r>
      <w:r>
        <w:rPr>
          <w:rStyle w:val="VerbatimChar"/>
        </w:rPr>
        <w:t xml:space="preserve">10 DTXSID10507257 1~2~,3~2~-Bis(bromomethyl)-1~1~,2~1~:2~4~,3~~ 5309~ C20H16Br2 </w:t>
      </w:r>
      <w:r>
        <w:br/>
      </w:r>
      <w:r>
        <w:rPr>
          <w:rStyle w:val="VerbatimChar"/>
        </w:rPr>
        <w:t xml:space="preserve"># i 98 more rows</w:t>
      </w:r>
    </w:p>
    <w:p>
      <w:pPr>
        <w:pStyle w:val="SourceCode"/>
      </w:pPr>
      <w:r>
        <w:rPr>
          <w:rStyle w:val="CommentTok"/>
        </w:rPr>
        <w:t xml:space="preserve">#Searching by molecular formula</w:t>
      </w:r>
      <w:r>
        <w:br/>
      </w:r>
      <w:r>
        <w:rPr>
          <w:rStyle w:val="FunctionTok"/>
        </w:rPr>
        <w:t xml:space="preserve">ct_search_formula</w:t>
      </w:r>
      <w:r>
        <w:rPr>
          <w:rStyle w:val="NormalTok"/>
        </w:rPr>
        <w:t xml:space="preserve">(</w:t>
      </w:r>
      <w:r>
        <w:rPr>
          <w:rStyle w:val="AttributeTok"/>
        </w:rPr>
        <w:t xml:space="preserve">query =</w:t>
      </w:r>
      <w:r>
        <w:rPr>
          <w:rStyle w:val="NormalTok"/>
        </w:rPr>
        <w:t xml:space="preserve"> </w:t>
      </w:r>
      <w:r>
        <w:rPr>
          <w:rStyle w:val="StringTok"/>
        </w:rPr>
        <w:t xml:space="preserve">'C10H19O6PS2'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(dtxsid, preferredName, casrn, averageMass, sourcesCount, toxcastSelect, qcLevel)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(sourcesCount))</w:t>
      </w:r>
    </w:p>
    <w:p>
      <w:pPr>
        <w:pStyle w:val="SourceCode"/>
      </w:pPr>
      <w:r>
        <w:rPr>
          <w:rStyle w:val="VerbatimChar"/>
        </w:rPr>
        <w:t xml:space="preserve">Searching for compound details....</w:t>
      </w:r>
    </w:p>
    <w:p>
      <w:pPr>
        <w:pStyle w:val="SourceCode"/>
      </w:pPr>
      <w:r>
        <w:rPr>
          <w:rStyle w:val="VerbatimChar"/>
        </w:rPr>
        <w:t xml:space="preserve"># A tibble: 4 x 7</w:t>
      </w:r>
      <w:r>
        <w:br/>
      </w:r>
      <w:r>
        <w:rPr>
          <w:rStyle w:val="VerbatimChar"/>
        </w:rPr>
        <w:t xml:space="preserve">  dtxsid      preferredName casrn averageMass sourcesCount toxcastSelect qcLevel</w:t>
      </w:r>
      <w:r>
        <w:br/>
      </w:r>
      <w:r>
        <w:rPr>
          <w:rStyle w:val="VerbatimChar"/>
        </w:rPr>
        <w:t xml:space="preserve">  &lt;chr&gt;       &lt;chr&gt;         &lt;chr&gt;       &lt;dbl&gt;        &lt;int&gt; &lt;chr&gt;           &lt;int&gt;</w:t>
      </w:r>
      <w:r>
        <w:br/>
      </w:r>
      <w:r>
        <w:rPr>
          <w:rStyle w:val="VerbatimChar"/>
        </w:rPr>
        <w:t xml:space="preserve">1 DTXSID4020~ Malathion     121-~        330.          337 154/1125            1</w:t>
      </w:r>
      <w:r>
        <w:br/>
      </w:r>
      <w:r>
        <w:rPr>
          <w:rStyle w:val="VerbatimChar"/>
        </w:rPr>
        <w:t xml:space="preserve">2 DTXSID9058~ Isomalathion  3344~        330.           38 &lt;NA&gt;                1</w:t>
      </w:r>
      <w:r>
        <w:br/>
      </w:r>
      <w:r>
        <w:rPr>
          <w:rStyle w:val="VerbatimChar"/>
        </w:rPr>
        <w:t xml:space="preserve">3 DTXSID3010~ (1S,3S)-Isom~ 1412~        330.           10 &lt;NA&gt;                1</w:t>
      </w:r>
      <w:r>
        <w:br/>
      </w:r>
      <w:r>
        <w:rPr>
          <w:rStyle w:val="VerbatimChar"/>
        </w:rPr>
        <w:t xml:space="preserve">4 DTXSID4010~ (R)-Malathion 1413~        330.            8 &lt;NA&gt;                1</w:t>
      </w:r>
    </w:p>
    <w:bookmarkEnd w:id="46"/>
    <w:bookmarkStart w:id="55" w:name="case-study-implementation-of-package"/>
    <w:p>
      <w:pPr>
        <w:pStyle w:val="Heading3"/>
      </w:pPr>
      <w:r>
        <w:t xml:space="preserve">Case study implementation of package</w:t>
      </w:r>
    </w:p>
    <w:p>
      <w:pPr>
        <w:pStyle w:val="FirstParagraph"/>
      </w:pPr>
      <w:r>
        <w:t xml:space="preserve">To demonstrate the potential workflow of this package, we offer two hypothetical situations. In the first, risk assessors would be interested in the prioritization of sites that contain storage tanks of compounds. The hypothetical situation would revolve around selecting for highest threats to human and ecosystem, while taking into account site-specific volumes. For this, the risk assessors will incorporate various endpoints, including physio-chemical and environmental fate/ transport parameters to assess the potential if a tank were to be ruptured. The second scenario would examine an industrial waste stream being discharged into a river system. Risk assessors would examine two paradigms, one focused on acute threats to both human and ecosystem, the other on a long-term site surveillance for compounds known to be persistent, bioaccumulative, and have potential for chronic exposures.</w:t>
      </w:r>
    </w:p>
    <w:bookmarkStart w:id="48" w:name="scenario-1-storage-tank-prioritization"/>
    <w:p>
      <w:pPr>
        <w:pStyle w:val="Heading4"/>
      </w:pPr>
      <w:r>
        <w:t xml:space="preserve">Scenario 1: Storage tank prioritization</w:t>
      </w:r>
    </w:p>
    <w:p>
      <w:pPr>
        <w:pStyle w:val="FirstParagraph"/>
      </w:pPr>
      <w:r>
        <w:t xml:space="preserve">In scenario 1, a regulatory permit writer is looking to prioritize sites for enhanced risk management planning. A data set of the current listed compounds is assembled via the CCD’s curated list. For compound production volumes, we’ve taken the average 2019 value from the</w:t>
      </w:r>
      <w:r>
        <w:t xml:space="preserve"> </w:t>
      </w:r>
      <w:r>
        <w:t xml:space="preserve">‘</w:t>
      </w:r>
      <w:r>
        <w:t xml:space="preserve">Exposure - Production Volume</w:t>
      </w:r>
      <w:r>
        <w:t xml:space="preserve">’</w:t>
      </w:r>
      <w:r>
        <w:t xml:space="preserve"> </w:t>
      </w:r>
      <w:r>
        <w:t xml:space="preserve">section from CCD for each compound (where available) as user-supplied data metric. This data is generated from the Chemical Data Reporting (CDR) Rule, issued under the Toxic Substances Control Act (TSCA), and represents the total volumes within the United States.</w:t>
      </w:r>
    </w:p>
    <w:p>
      <w:pPr>
        <w:pStyle w:val="BodyText"/>
      </w:pPr>
      <w:r>
        <w:t xml:space="preserve">Next, the permit writer can utilize the</w:t>
      </w:r>
      <w:r>
        <w:t xml:space="preserve"> </w:t>
      </w:r>
      <w:r>
        <w:rPr>
          <w:rStyle w:val="VerbatimChar"/>
        </w:rPr>
        <w:t xml:space="preserve">hc_table()</w:t>
      </w:r>
      <w:r>
        <w:t xml:space="preserve"> </w:t>
      </w:r>
      <w:r>
        <w:t xml:space="preserve">function and pass the list into it. The production volumes for each compound is joined against the table, and a bias table for weighing is created to work with the prioritization function. A 2x weight is applied against persistence, BAC, mobility factor, volume endpoints while other endpoints are rejected due to poor coverage. Finally, the ToxPi priortitization scheme is employed, with the top 10 compounds being returned. Not all compounds that were in this top 10 ranking had reported production volumes, suggesting that other endpoints should be considered and that total volumes within a given site may not be as important.</w:t>
      </w:r>
    </w:p>
    <w:bookmarkStart w:id="47" w:name="tbl-scenario1"/>
    <w:p>
      <w:pPr>
        <w:pStyle w:val="TableCaption"/>
      </w:pPr>
      <w:r>
        <w:t xml:space="preserve">Table 8: Scenario 1: Prioritization by compound, Top 10</w:t>
      </w:r>
    </w:p>
    <w:tbl>
      <w:tblPr>
        <w:tblStyle w:val="Table"/>
        <w:tblW w:type="auto" w:w="0"/>
        <w:tblLook w:firstRow="1" w:lastRow="0" w:firstColumn="0" w:lastColumn="0" w:noHBand="0" w:noVBand="0" w:val="0020"/>
        <w:jc w:val="start"/>
        <w:tblCaption w:val="Table 8: Scenario 1: Prioritization by compound, Top 10"/>
      </w:tblPr>
      <w:tblGrid>
        <w:gridCol w:w="1980"/>
        <w:gridCol w:w="1980"/>
        <w:gridCol w:w="1980"/>
        <w:gridCol w:w="1980"/>
      </w:tblGrid>
      <w:tr>
        <w:trPr>
          <w:tblHeader w:val="true"/>
        </w:trPr>
        <w:tc>
          <w:tcPr/>
          <w:p>
            <w:pPr>
              <w:pStyle w:val="Compact"/>
              <w:jc w:val="left"/>
            </w:pPr>
            <w:r>
              <w:t xml:space="preserve">compound</w:t>
            </w:r>
          </w:p>
        </w:tc>
        <w:tc>
          <w:tcPr/>
          <w:p>
            <w:pPr>
              <w:pStyle w:val="Compact"/>
              <w:jc w:val="left"/>
            </w:pPr>
            <w:r>
              <w:t xml:space="preserve">preferredName</w:t>
            </w:r>
          </w:p>
        </w:tc>
        <w:tc>
          <w:tcPr/>
          <w:p>
            <w:pPr>
              <w:pStyle w:val="Compact"/>
              <w:jc w:val="right"/>
            </w:pPr>
            <w:r>
              <w:t xml:space="preserve">volume_amount</w:t>
            </w:r>
          </w:p>
        </w:tc>
        <w:tc>
          <w:tcPr/>
          <w:p>
            <w:pPr>
              <w:pStyle w:val="Compact"/>
              <w:jc w:val="right"/>
            </w:pPr>
            <w:r>
              <w:t xml:space="preserve">score</w:t>
            </w:r>
          </w:p>
        </w:tc>
      </w:tr>
      <w:tr>
        <w:tc>
          <w:tcPr/>
          <w:p>
            <w:pPr>
              <w:pStyle w:val="Compact"/>
              <w:jc w:val="left"/>
            </w:pPr>
            <w:r>
              <w:t xml:space="preserve">DTXSID5020023</w:t>
            </w:r>
          </w:p>
        </w:tc>
        <w:tc>
          <w:tcPr/>
          <w:p>
            <w:pPr>
              <w:pStyle w:val="Compact"/>
              <w:jc w:val="left"/>
            </w:pPr>
            <w:r>
              <w:t xml:space="preserve">Acrolein</w:t>
            </w:r>
          </w:p>
        </w:tc>
        <w:tc>
          <w:tcPr/>
          <w:p>
            <w:pPr>
              <w:pStyle w:val="Compact"/>
              <w:jc w:val="right"/>
            </w:pPr>
            <w:r>
              <w:t xml:space="preserve">375000000</w:t>
            </w:r>
          </w:p>
        </w:tc>
        <w:tc>
          <w:tcPr/>
          <w:p>
            <w:pPr>
              <w:pStyle w:val="Compact"/>
              <w:jc w:val="right"/>
            </w:pPr>
            <w:r>
              <w:t xml:space="preserve">7.5571</w:t>
            </w:r>
          </w:p>
        </w:tc>
      </w:tr>
      <w:tr>
        <w:tc>
          <w:tcPr/>
          <w:p>
            <w:pPr>
              <w:pStyle w:val="Compact"/>
              <w:jc w:val="left"/>
            </w:pPr>
            <w:r>
              <w:t xml:space="preserve">DTXSID7021106</w:t>
            </w:r>
          </w:p>
        </w:tc>
        <w:tc>
          <w:tcPr/>
          <w:p>
            <w:pPr>
              <w:pStyle w:val="Compact"/>
              <w:jc w:val="left"/>
            </w:pPr>
            <w:r>
              <w:t xml:space="preserve">Pentachlorophenol</w:t>
            </w:r>
          </w:p>
        </w:tc>
        <w:tc>
          <w:tcPr/>
          <w:p>
            <w:pPr>
              <w:pStyle w:val="Compact"/>
              <w:jc w:val="right"/>
            </w:pPr>
            <w:r>
              <w:t xml:space="preserve">14843844</w:t>
            </w:r>
          </w:p>
        </w:tc>
        <w:tc>
          <w:tcPr/>
          <w:p>
            <w:pPr>
              <w:pStyle w:val="Compact"/>
              <w:jc w:val="right"/>
            </w:pPr>
            <w:r>
              <w:t xml:space="preserve">7.4988</w:t>
            </w:r>
          </w:p>
        </w:tc>
      </w:tr>
      <w:tr>
        <w:tc>
          <w:tcPr/>
          <w:p>
            <w:pPr>
              <w:pStyle w:val="Compact"/>
              <w:jc w:val="left"/>
            </w:pPr>
            <w:r>
              <w:t xml:space="preserve">DTXSID6023787</w:t>
            </w:r>
          </w:p>
        </w:tc>
        <w:tc>
          <w:tcPr/>
          <w:p>
            <w:pPr>
              <w:pStyle w:val="Compact"/>
              <w:jc w:val="left"/>
            </w:pPr>
            <w:r>
              <w:t xml:space="preserve">Nickel sulfate</w:t>
            </w:r>
          </w:p>
        </w:tc>
        <w:tc>
          <w:tcPr/>
          <w:p>
            <w:pPr>
              <w:pStyle w:val="Compact"/>
              <w:jc w:val="right"/>
            </w:pPr>
            <w:r>
              <w:t xml:space="preserve">30000000</w:t>
            </w:r>
          </w:p>
        </w:tc>
        <w:tc>
          <w:tcPr/>
          <w:p>
            <w:pPr>
              <w:pStyle w:val="Compact"/>
              <w:jc w:val="right"/>
            </w:pPr>
            <w:r>
              <w:t xml:space="preserve">6.8450</w:t>
            </w:r>
          </w:p>
        </w:tc>
      </w:tr>
      <w:tr>
        <w:tc>
          <w:tcPr/>
          <w:p>
            <w:pPr>
              <w:pStyle w:val="Compact"/>
              <w:jc w:val="left"/>
            </w:pPr>
            <w:r>
              <w:t xml:space="preserve">DTXSID2040317</w:t>
            </w:r>
          </w:p>
        </w:tc>
        <w:tc>
          <w:tcPr/>
          <w:p>
            <w:pPr>
              <w:pStyle w:val="Compact"/>
              <w:jc w:val="left"/>
            </w:pPr>
            <w:r>
              <w:t xml:space="preserve">Aluminum sesquisulfate</w:t>
            </w:r>
          </w:p>
        </w:tc>
        <w:tc>
          <w:tcPr/>
          <w:p>
            <w:pPr>
              <w:pStyle w:val="Compact"/>
              <w:jc w:val="right"/>
            </w:pPr>
            <w:r>
              <w:t xml:space="preserve">3000000000</w:t>
            </w:r>
          </w:p>
        </w:tc>
        <w:tc>
          <w:tcPr/>
          <w:p>
            <w:pPr>
              <w:pStyle w:val="Compact"/>
              <w:jc w:val="right"/>
            </w:pPr>
            <w:r>
              <w:t xml:space="preserve">6.6511</w:t>
            </w:r>
          </w:p>
        </w:tc>
      </w:tr>
      <w:tr>
        <w:tc>
          <w:tcPr/>
          <w:p>
            <w:pPr>
              <w:pStyle w:val="Compact"/>
              <w:jc w:val="left"/>
            </w:pPr>
            <w:r>
              <w:t xml:space="preserve">DTXSID2035069</w:t>
            </w:r>
          </w:p>
        </w:tc>
        <w:tc>
          <w:tcPr/>
          <w:p>
            <w:pPr>
              <w:pStyle w:val="Compact"/>
              <w:jc w:val="left"/>
            </w:pPr>
            <w:r>
              <w:t xml:space="preserve">Lead nitrate</w:t>
            </w:r>
          </w:p>
        </w:tc>
        <w:tc>
          <w:tcPr/>
          <w:p>
            <w:pPr>
              <w:pStyle w:val="Compact"/>
              <w:jc w:val="right"/>
            </w:pPr>
            <w:r>
              <w:t xml:space="preserve">300000</w:t>
            </w:r>
          </w:p>
        </w:tc>
        <w:tc>
          <w:tcPr/>
          <w:p>
            <w:pPr>
              <w:pStyle w:val="Compact"/>
              <w:jc w:val="right"/>
            </w:pPr>
            <w:r>
              <w:t xml:space="preserve">6.4591</w:t>
            </w:r>
          </w:p>
        </w:tc>
      </w:tr>
      <w:tr>
        <w:tc>
          <w:tcPr/>
          <w:p>
            <w:pPr>
              <w:pStyle w:val="Compact"/>
              <w:jc w:val="left"/>
            </w:pPr>
            <w:r>
              <w:t xml:space="preserve">DTXSID70872953</w:t>
            </w:r>
          </w:p>
        </w:tc>
        <w:tc>
          <w:tcPr/>
          <w:p>
            <w:pPr>
              <w:pStyle w:val="Compact"/>
              <w:jc w:val="left"/>
            </w:pPr>
            <w:r>
              <w:t xml:space="preserve">Ammonium dichromate</w:t>
            </w:r>
          </w:p>
        </w:tc>
        <w:tc>
          <w:tcPr/>
          <w:p>
            <w:pPr>
              <w:pStyle w:val="Compact"/>
              <w:jc w:val="right"/>
            </w:pPr>
            <w:r>
              <w:t xml:space="preserve">1000000</w:t>
            </w:r>
          </w:p>
        </w:tc>
        <w:tc>
          <w:tcPr/>
          <w:p>
            <w:pPr>
              <w:pStyle w:val="Compact"/>
              <w:jc w:val="right"/>
            </w:pPr>
            <w:r>
              <w:t xml:space="preserve">6.4577</w:t>
            </w:r>
          </w:p>
        </w:tc>
      </w:tr>
      <w:tr>
        <w:tc>
          <w:tcPr/>
          <w:p>
            <w:pPr>
              <w:pStyle w:val="Compact"/>
              <w:jc w:val="left"/>
            </w:pPr>
            <w:r>
              <w:t xml:space="preserve">DTXSID8020044</w:t>
            </w:r>
          </w:p>
        </w:tc>
        <w:tc>
          <w:tcPr/>
          <w:p>
            <w:pPr>
              <w:pStyle w:val="Compact"/>
              <w:jc w:val="left"/>
            </w:pPr>
            <w:r>
              <w:t xml:space="preserve">Allyl alcohol</w:t>
            </w:r>
          </w:p>
        </w:tc>
        <w:tc>
          <w:tcPr/>
          <w:p>
            <w:pPr>
              <w:pStyle w:val="Compact"/>
              <w:jc w:val="right"/>
            </w:pPr>
            <w:r>
              <w:t xml:space="preserve">550000000</w:t>
            </w:r>
          </w:p>
        </w:tc>
        <w:tc>
          <w:tcPr/>
          <w:p>
            <w:pPr>
              <w:pStyle w:val="Compact"/>
              <w:jc w:val="right"/>
            </w:pPr>
            <w:r>
              <w:t xml:space="preserve">6.3423</w:t>
            </w:r>
          </w:p>
        </w:tc>
      </w:tr>
      <w:tr>
        <w:tc>
          <w:tcPr/>
          <w:p>
            <w:pPr>
              <w:pStyle w:val="Compact"/>
              <w:jc w:val="left"/>
            </w:pPr>
            <w:r>
              <w:t xml:space="preserve">DTXSID6034479</w:t>
            </w:r>
          </w:p>
        </w:tc>
        <w:tc>
          <w:tcPr/>
          <w:p>
            <w:pPr>
              <w:pStyle w:val="Compact"/>
              <w:jc w:val="left"/>
            </w:pPr>
            <w:r>
              <w:t xml:space="preserve">Copper sulfate</w:t>
            </w:r>
          </w:p>
        </w:tc>
        <w:tc>
          <w:tcPr/>
          <w:p>
            <w:pPr>
              <w:pStyle w:val="Compact"/>
              <w:jc w:val="right"/>
            </w:pPr>
            <w:r>
              <w:t xml:space="preserve">3000000000</w:t>
            </w:r>
          </w:p>
        </w:tc>
        <w:tc>
          <w:tcPr/>
          <w:p>
            <w:pPr>
              <w:pStyle w:val="Compact"/>
              <w:jc w:val="right"/>
            </w:pPr>
            <w:r>
              <w:t xml:space="preserve">5.9316</w:t>
            </w:r>
          </w:p>
        </w:tc>
      </w:tr>
      <w:tr>
        <w:tc>
          <w:tcPr/>
          <w:p>
            <w:pPr>
              <w:pStyle w:val="Compact"/>
              <w:jc w:val="left"/>
            </w:pPr>
            <w:r>
              <w:t xml:space="preserve">DTXSID5020029</w:t>
            </w:r>
          </w:p>
        </w:tc>
        <w:tc>
          <w:tcPr/>
          <w:p>
            <w:pPr>
              <w:pStyle w:val="Compact"/>
              <w:jc w:val="left"/>
            </w:pPr>
            <w:r>
              <w:t xml:space="preserve">Acrylonitrile</w:t>
            </w:r>
          </w:p>
        </w:tc>
        <w:tc>
          <w:tcPr/>
          <w:p>
            <w:pPr>
              <w:pStyle w:val="Compact"/>
              <w:jc w:val="right"/>
            </w:pPr>
            <w:r>
              <w:t xml:space="preserve">3000000000</w:t>
            </w:r>
          </w:p>
        </w:tc>
        <w:tc>
          <w:tcPr/>
          <w:p>
            <w:pPr>
              <w:pStyle w:val="Compact"/>
              <w:jc w:val="right"/>
            </w:pPr>
            <w:r>
              <w:t xml:space="preserve">5.8757</w:t>
            </w:r>
          </w:p>
        </w:tc>
      </w:tr>
      <w:tr>
        <w:tc>
          <w:tcPr/>
          <w:p>
            <w:pPr>
              <w:pStyle w:val="Compact"/>
              <w:jc w:val="left"/>
            </w:pPr>
            <w:r>
              <w:t xml:space="preserve">DTXSID0020446</w:t>
            </w:r>
          </w:p>
        </w:tc>
        <w:tc>
          <w:tcPr/>
          <w:p>
            <w:pPr>
              <w:pStyle w:val="Compact"/>
              <w:jc w:val="left"/>
            </w:pPr>
            <w:r>
              <w:t xml:space="preserve">Diuron</w:t>
            </w:r>
          </w:p>
        </w:tc>
        <w:tc>
          <w:tcPr/>
          <w:p>
            <w:pPr>
              <w:pStyle w:val="Compact"/>
              <w:jc w:val="right"/>
            </w:pPr>
            <w:r>
              <w:t xml:space="preserve">39888</w:t>
            </w:r>
          </w:p>
        </w:tc>
        <w:tc>
          <w:tcPr/>
          <w:p>
            <w:pPr>
              <w:pStyle w:val="Compact"/>
              <w:jc w:val="right"/>
            </w:pPr>
            <w:r>
              <w:t xml:space="preserve">5.8593</w:t>
            </w:r>
          </w:p>
        </w:tc>
      </w:tr>
    </w:tbl>
    <w:bookmarkEnd w:id="47"/>
    <w:bookmarkEnd w:id="48"/>
    <w:bookmarkStart w:id="54" w:name="X93a9860e438c875762a257e3e25cd88916b3040"/>
    <w:p>
      <w:pPr>
        <w:pStyle w:val="Heading4"/>
      </w:pPr>
      <w:r>
        <w:t xml:space="preserve">Scenario 2: River exposure to industrial waste stream</w:t>
      </w:r>
    </w:p>
    <w:p>
      <w:pPr>
        <w:pStyle w:val="FirstParagraph"/>
      </w:pPr>
      <w:r>
        <w:t xml:space="preserve">In scenario 2, a regulatory authority is taking samples from a river system that had been exposed to a inadvertent discharge of an industrial waste water. Similar to scenario 1, the source data contains individual sites with several compounds detected at each site in varying concentrations. Of interest is what is the immediate, acute threat, and what is the threat to long-term health for both the ecosystem and human health. The full code used to demonstrate this is available on the Github and the supplementary material.</w:t>
      </w:r>
    </w:p>
    <w:p>
      <w:pPr>
        <w:pStyle w:val="BodyText"/>
      </w:pPr>
      <w:r>
        <w:t xml:space="preserve">For the first part of the analysis, the assessor chooses to prioritize oral, dermal, inhalation, and the acute aquatic toxicity as these pose an immediate threat to clean-up efforts as well as broad spectrum environmental threat to the river system. Several compounds are detected at multiple locations, with Site</w:t>
      </w:r>
      <w:r>
        <w:t xml:space="preserve"> </w:t>
      </w:r>
      <w:r>
        <w:t xml:space="preserve">‘</w:t>
      </w:r>
      <w:r>
        <w:t xml:space="preserve">C</w:t>
      </w:r>
      <w:r>
        <w:t xml:space="preserve">’</w:t>
      </w:r>
      <w:r>
        <w:t xml:space="preserve"> </w:t>
      </w:r>
      <w:r>
        <w:t xml:space="preserve">having the highest weighted mean score. In the top 25 samples (by score), three compounds (Pentachlorophenol, Chlorpyrifos, Caffeine) were detected at all four sites.</w:t>
      </w:r>
    </w:p>
    <w:p>
      <w:pPr>
        <w:pStyle w:val="BodyText"/>
      </w:pPr>
      <w:r>
        <w:t xml:space="preserve">For the second part of the analysis, the assessor chose the inverse of the acute hazard assessment, choosing to focus on threats from cancer, genotoxic, endocrine, reproductive, developmental, and chronic aquatic toxicity, while also considering the long-term threat by incorporating persistence, bioaccumulation, and mobility characteristics. Similar to the acute prioritization, Site</w:t>
      </w:r>
      <w:r>
        <w:t xml:space="preserve"> </w:t>
      </w:r>
      <w:r>
        <w:t xml:space="preserve">‘</w:t>
      </w:r>
      <w:r>
        <w:t xml:space="preserve">C</w:t>
      </w:r>
      <w:r>
        <w:t xml:space="preserve">’</w:t>
      </w:r>
      <w:r>
        <w:t xml:space="preserve"> </w:t>
      </w:r>
      <w:r>
        <w:t xml:space="preserve">showed the highest weighted mean score. With the top 25 samples (by score), five compounds were detected at all four locations (Benzyl butyl phthalate, Pentachlorophenol, Bisphenol A, 1,4-Dichlorobenzene, Hydroquinone), offering several canidates for long-term monitoring efforts considering the endpoints assessed.</w:t>
      </w:r>
    </w:p>
    <w:bookmarkStart w:id="53" w:name="tbl-scenario2"/>
    <w:tbl>
      <w:tblPr>
        <w:tblStyle w:val="Table"/>
        <w:tblW w:type="pct" w:w="5000"/>
        <w:tblLook w:firstRow="0" w:lastRow="0" w:firstColumn="0" w:lastColumn="0" w:noHBand="0" w:noVBand="0" w:val="0000"/>
        <w:jc w:val="start"/>
      </w:tblPr>
      <w:tblGrid>
        <w:gridCol w:w="1980"/>
        <w:gridCol w:w="1980"/>
        <w:gridCol w:w="1980"/>
        <w:gridCol w:w="1980"/>
      </w:tblGrid>
      <w:tr>
        <w:tc>
          <w:tcPr/>
          <w:bookmarkStart w:id="49" w:name="tbl-scenario2-1"/>
          <w:p>
            <w:pPr>
              <w:jc w:val="left"/>
            </w:pPr>
            <w:pPr>
              <w:jc w:val="center"/>
              <w:spacing w:before="200"/>
              <w:pStyle w:val="ImageCaption"/>
            </w:pPr>
            <w:r>
              <w:t xml:space="preserve">(a) Acute prioritization by location</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location</w:t>
                  </w:r>
                </w:p>
              </w:tc>
              <w:tc>
                <w:tcPr/>
                <w:p>
                  <w:pPr>
                    <w:pStyle w:val="Compact"/>
                    <w:jc w:val="right"/>
                    <w:jc w:val="left"/>
                  </w:pPr>
                  <w:r>
                    <w:t xml:space="preserve">count</w:t>
                  </w:r>
                </w:p>
              </w:tc>
              <w:tc>
                <w:tcPr/>
                <w:p>
                  <w:pPr>
                    <w:pStyle w:val="Compact"/>
                    <w:jc w:val="right"/>
                    <w:jc w:val="left"/>
                  </w:pPr>
                  <w:r>
                    <w:t xml:space="preserve">avg_score</w:t>
                  </w:r>
                </w:p>
              </w:tc>
            </w:tr>
            <w:tr>
              <w:tc>
                <w:tcPr/>
                <w:p>
                  <w:pPr>
                    <w:pStyle w:val="Compact"/>
                    <w:jc w:val="left"/>
                    <w:jc w:val="left"/>
                  </w:pPr>
                  <w:r>
                    <w:t xml:space="preserve">C</w:t>
                  </w:r>
                </w:p>
              </w:tc>
              <w:tc>
                <w:tcPr/>
                <w:p>
                  <w:pPr>
                    <w:pStyle w:val="Compact"/>
                    <w:jc w:val="right"/>
                    <w:jc w:val="left"/>
                  </w:pPr>
                  <w:r>
                    <w:t xml:space="preserve">5</w:t>
                  </w:r>
                </w:p>
              </w:tc>
              <w:tc>
                <w:tcPr/>
                <w:p>
                  <w:pPr>
                    <w:pStyle w:val="Compact"/>
                    <w:jc w:val="right"/>
                    <w:jc w:val="left"/>
                  </w:pPr>
                  <w:r>
                    <w:t xml:space="preserve">3.814612</w:t>
                  </w:r>
                </w:p>
              </w:tc>
            </w:tr>
            <w:tr>
              <w:tc>
                <w:tcPr/>
                <w:p>
                  <w:pPr>
                    <w:pStyle w:val="Compact"/>
                    <w:jc w:val="left"/>
                    <w:jc w:val="left"/>
                  </w:pPr>
                  <w:r>
                    <w:t xml:space="preserve">B</w:t>
                  </w:r>
                </w:p>
              </w:tc>
              <w:tc>
                <w:tcPr/>
                <w:p>
                  <w:pPr>
                    <w:pStyle w:val="Compact"/>
                    <w:jc w:val="right"/>
                    <w:jc w:val="left"/>
                  </w:pPr>
                  <w:r>
                    <w:t xml:space="preserve">5</w:t>
                  </w:r>
                </w:p>
              </w:tc>
              <w:tc>
                <w:tcPr/>
                <w:p>
                  <w:pPr>
                    <w:pStyle w:val="Compact"/>
                    <w:jc w:val="right"/>
                    <w:jc w:val="left"/>
                  </w:pPr>
                  <w:r>
                    <w:t xml:space="preserve">2.962880</w:t>
                  </w:r>
                </w:p>
              </w:tc>
            </w:tr>
            <w:tr>
              <w:tc>
                <w:tcPr/>
                <w:p>
                  <w:pPr>
                    <w:pStyle w:val="Compact"/>
                    <w:jc w:val="left"/>
                    <w:jc w:val="left"/>
                  </w:pPr>
                  <w:r>
                    <w:t xml:space="preserve">A</w:t>
                  </w:r>
                </w:p>
              </w:tc>
              <w:tc>
                <w:tcPr/>
                <w:p>
                  <w:pPr>
                    <w:pStyle w:val="Compact"/>
                    <w:jc w:val="right"/>
                    <w:jc w:val="left"/>
                  </w:pPr>
                  <w:r>
                    <w:t xml:space="preserve">5</w:t>
                  </w:r>
                </w:p>
              </w:tc>
              <w:tc>
                <w:tcPr/>
                <w:p>
                  <w:pPr>
                    <w:pStyle w:val="Compact"/>
                    <w:jc w:val="right"/>
                    <w:jc w:val="left"/>
                  </w:pPr>
                  <w:r>
                    <w:t xml:space="preserve">2.946431</w:t>
                  </w:r>
                </w:p>
              </w:tc>
            </w:tr>
            <w:tr>
              <w:tc>
                <w:tcPr/>
                <w:p>
                  <w:pPr>
                    <w:pStyle w:val="Compact"/>
                    <w:jc w:val="left"/>
                    <w:jc w:val="left"/>
                  </w:pPr>
                  <w:r>
                    <w:t xml:space="preserve">D</w:t>
                  </w:r>
                </w:p>
              </w:tc>
              <w:tc>
                <w:tcPr/>
                <w:p>
                  <w:pPr>
                    <w:pStyle w:val="Compact"/>
                    <w:jc w:val="right"/>
                    <w:jc w:val="left"/>
                  </w:pPr>
                  <w:r>
                    <w:t xml:space="preserve">10</w:t>
                  </w:r>
                </w:p>
              </w:tc>
              <w:tc>
                <w:tcPr/>
                <w:p>
                  <w:pPr>
                    <w:pStyle w:val="Compact"/>
                    <w:jc w:val="right"/>
                    <w:jc w:val="left"/>
                  </w:pPr>
                  <w:r>
                    <w:t xml:space="preserve">2.894122</w:t>
                  </w:r>
                </w:p>
              </w:tc>
            </w:tr>
          </w:tbl>
          <w:bookmarkEnd w:id="49"/>
          <w:p/>
        </w:tc>
        <w:tc>
          <w:tcPr/>
          <w:p/>
        </w:tc>
        <w:tc>
          <w:tcPr/>
          <w:bookmarkStart w:id="50" w:name="tbl-scenario2-2"/>
          <w:p>
            <w:pPr>
              <w:jc w:val="left"/>
            </w:pPr>
            <w:pPr>
              <w:jc w:val="center"/>
              <w:spacing w:before="200"/>
              <w:pStyle w:val="ImageCaption"/>
            </w:pPr>
            <w:r>
              <w:t xml:space="preserve">(b) Acute hazard prioritization by compound</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preferredName</w:t>
                  </w:r>
                </w:p>
              </w:tc>
              <w:tc>
                <w:tcPr/>
                <w:p>
                  <w:pPr>
                    <w:pStyle w:val="Compact"/>
                    <w:jc w:val="right"/>
                    <w:jc w:val="left"/>
                  </w:pPr>
                  <w:r>
                    <w:t xml:space="preserve">count</w:t>
                  </w:r>
                </w:p>
              </w:tc>
              <w:tc>
                <w:tcPr/>
                <w:p>
                  <w:pPr>
                    <w:pStyle w:val="Compact"/>
                    <w:jc w:val="right"/>
                    <w:jc w:val="left"/>
                  </w:pPr>
                  <w:r>
                    <w:t xml:space="preserve">avg_score</w:t>
                  </w:r>
                </w:p>
              </w:tc>
            </w:tr>
            <w:tr>
              <w:tc>
                <w:tcPr/>
                <w:p>
                  <w:pPr>
                    <w:pStyle w:val="Compact"/>
                    <w:jc w:val="left"/>
                    <w:jc w:val="left"/>
                  </w:pPr>
                  <w:r>
                    <w:t xml:space="preserve">Pentachlorophenol</w:t>
                  </w:r>
                </w:p>
              </w:tc>
              <w:tc>
                <w:tcPr/>
                <w:p>
                  <w:pPr>
                    <w:pStyle w:val="Compact"/>
                    <w:jc w:val="right"/>
                    <w:jc w:val="left"/>
                  </w:pPr>
                  <w:r>
                    <w:t xml:space="preserve">4</w:t>
                  </w:r>
                </w:p>
              </w:tc>
              <w:tc>
                <w:tcPr/>
                <w:p>
                  <w:pPr>
                    <w:pStyle w:val="Compact"/>
                    <w:jc w:val="right"/>
                    <w:jc w:val="left"/>
                  </w:pPr>
                  <w:r>
                    <w:t xml:space="preserve">4.0248</w:t>
                  </w:r>
                </w:p>
              </w:tc>
            </w:tr>
            <w:tr>
              <w:tc>
                <w:tcPr/>
                <w:p>
                  <w:pPr>
                    <w:pStyle w:val="Compact"/>
                    <w:jc w:val="left"/>
                    <w:jc w:val="left"/>
                  </w:pPr>
                  <w:r>
                    <w:t xml:space="preserve">Chlorpyrifos</w:t>
                  </w:r>
                </w:p>
              </w:tc>
              <w:tc>
                <w:tcPr/>
                <w:p>
                  <w:pPr>
                    <w:pStyle w:val="Compact"/>
                    <w:jc w:val="right"/>
                    <w:jc w:val="left"/>
                  </w:pPr>
                  <w:r>
                    <w:t xml:space="preserve">4</w:t>
                  </w:r>
                </w:p>
              </w:tc>
              <w:tc>
                <w:tcPr/>
                <w:p>
                  <w:pPr>
                    <w:pStyle w:val="Compact"/>
                    <w:jc w:val="right"/>
                    <w:jc w:val="left"/>
                  </w:pPr>
                  <w:r>
                    <w:t xml:space="preserve">3.7323</w:t>
                  </w:r>
                </w:p>
              </w:tc>
            </w:tr>
            <w:tr>
              <w:tc>
                <w:tcPr/>
                <w:p>
                  <w:pPr>
                    <w:pStyle w:val="Compact"/>
                    <w:jc w:val="left"/>
                    <w:jc w:val="left"/>
                  </w:pPr>
                  <w:r>
                    <w:t xml:space="preserve">Caffeine</w:t>
                  </w:r>
                </w:p>
              </w:tc>
              <w:tc>
                <w:tcPr/>
                <w:p>
                  <w:pPr>
                    <w:pStyle w:val="Compact"/>
                    <w:jc w:val="right"/>
                    <w:jc w:val="left"/>
                  </w:pPr>
                  <w:r>
                    <w:t xml:space="preserve">4</w:t>
                  </w:r>
                </w:p>
              </w:tc>
              <w:tc>
                <w:tcPr/>
                <w:p>
                  <w:pPr>
                    <w:pStyle w:val="Compact"/>
                    <w:jc w:val="right"/>
                    <w:jc w:val="left"/>
                  </w:pPr>
                  <w:r>
                    <w:t xml:space="preserve">2.4336</w:t>
                  </w:r>
                </w:p>
              </w:tc>
            </w:tr>
            <w:tr>
              <w:tc>
                <w:tcPr/>
                <w:p>
                  <w:pPr>
                    <w:pStyle w:val="Compact"/>
                    <w:jc w:val="left"/>
                    <w:jc w:val="left"/>
                  </w:pPr>
                  <w:r>
                    <w:t xml:space="preserve">Hydroquinone</w:t>
                  </w:r>
                </w:p>
              </w:tc>
              <w:tc>
                <w:tcPr/>
                <w:p>
                  <w:pPr>
                    <w:pStyle w:val="Compact"/>
                    <w:jc w:val="right"/>
                    <w:jc w:val="left"/>
                  </w:pPr>
                  <w:r>
                    <w:t xml:space="preserve">2</w:t>
                  </w:r>
                </w:p>
              </w:tc>
              <w:tc>
                <w:tcPr/>
                <w:p>
                  <w:pPr>
                    <w:pStyle w:val="Compact"/>
                    <w:jc w:val="right"/>
                    <w:jc w:val="left"/>
                  </w:pPr>
                  <w:r>
                    <w:t xml:space="preserve">2.6405</w:t>
                  </w:r>
                </w:p>
              </w:tc>
            </w:tr>
            <w:tr>
              <w:tc>
                <w:tcPr/>
                <w:p>
                  <w:pPr>
                    <w:pStyle w:val="Compact"/>
                    <w:jc w:val="left"/>
                    <w:jc w:val="left"/>
                  </w:pPr>
                  <w:r>
                    <w:t xml:space="preserve">1,4-Dichlorobenzene</w:t>
                  </w:r>
                </w:p>
              </w:tc>
              <w:tc>
                <w:tcPr/>
                <w:p>
                  <w:pPr>
                    <w:pStyle w:val="Compact"/>
                    <w:jc w:val="right"/>
                    <w:jc w:val="left"/>
                  </w:pPr>
                  <w:r>
                    <w:t xml:space="preserve">2</w:t>
                  </w:r>
                </w:p>
              </w:tc>
              <w:tc>
                <w:tcPr/>
                <w:p>
                  <w:pPr>
                    <w:pStyle w:val="Compact"/>
                    <w:jc w:val="right"/>
                    <w:jc w:val="left"/>
                  </w:pPr>
                  <w:r>
                    <w:t xml:space="preserve">2.5242</w:t>
                  </w:r>
                </w:p>
              </w:tc>
            </w:tr>
            <w:tr>
              <w:tc>
                <w:tcPr/>
                <w:p>
                  <w:pPr>
                    <w:pStyle w:val="Compact"/>
                    <w:jc w:val="left"/>
                    <w:jc w:val="left"/>
                  </w:pPr>
                  <w:r>
                    <w:t xml:space="preserve">Benzyl alcohol</w:t>
                  </w:r>
                </w:p>
              </w:tc>
              <w:tc>
                <w:tcPr/>
                <w:p>
                  <w:pPr>
                    <w:pStyle w:val="Compact"/>
                    <w:jc w:val="right"/>
                    <w:jc w:val="left"/>
                  </w:pPr>
                  <w:r>
                    <w:t xml:space="preserve">1</w:t>
                  </w:r>
                </w:p>
              </w:tc>
              <w:tc>
                <w:tcPr/>
                <w:p>
                  <w:pPr>
                    <w:pStyle w:val="Compact"/>
                    <w:jc w:val="right"/>
                    <w:jc w:val="left"/>
                  </w:pPr>
                  <w:r>
                    <w:t xml:space="preserve">3.0867</w:t>
                  </w:r>
                </w:p>
              </w:tc>
            </w:tr>
            <w:tr>
              <w:tc>
                <w:tcPr/>
                <w:p>
                  <w:pPr>
                    <w:pStyle w:val="Compact"/>
                    <w:jc w:val="left"/>
                    <w:jc w:val="left"/>
                  </w:pPr>
                  <w:r>
                    <w:t xml:space="preserve">2,4-Dichlorophenoxyacetic acid</w:t>
                  </w:r>
                </w:p>
              </w:tc>
              <w:tc>
                <w:tcPr/>
                <w:p>
                  <w:pPr>
                    <w:pStyle w:val="Compact"/>
                    <w:jc w:val="right"/>
                    <w:jc w:val="left"/>
                  </w:pPr>
                  <w:r>
                    <w:t xml:space="preserve">1</w:t>
                  </w:r>
                </w:p>
              </w:tc>
              <w:tc>
                <w:tcPr/>
                <w:p>
                  <w:pPr>
                    <w:pStyle w:val="Compact"/>
                    <w:jc w:val="right"/>
                    <w:jc w:val="left"/>
                  </w:pPr>
                  <w:r>
                    <w:t xml:space="preserve">3.0788</w:t>
                  </w:r>
                </w:p>
              </w:tc>
            </w:tr>
            <w:tr>
              <w:tc>
                <w:tcPr/>
                <w:p>
                  <w:pPr>
                    <w:pStyle w:val="Compact"/>
                    <w:jc w:val="left"/>
                    <w:jc w:val="left"/>
                  </w:pPr>
                  <w:r>
                    <w:t xml:space="preserve">Ethylbenzene</w:t>
                  </w:r>
                </w:p>
              </w:tc>
              <w:tc>
                <w:tcPr/>
                <w:p>
                  <w:pPr>
                    <w:pStyle w:val="Compact"/>
                    <w:jc w:val="right"/>
                    <w:jc w:val="left"/>
                  </w:pPr>
                  <w:r>
                    <w:t xml:space="preserve">1</w:t>
                  </w:r>
                </w:p>
              </w:tc>
              <w:tc>
                <w:tcPr/>
                <w:p>
                  <w:pPr>
                    <w:pStyle w:val="Compact"/>
                    <w:jc w:val="right"/>
                    <w:jc w:val="left"/>
                  </w:pPr>
                  <w:r>
                    <w:t xml:space="preserve">2.6468</w:t>
                  </w:r>
                </w:p>
              </w:tc>
            </w:tr>
            <w:tr>
              <w:tc>
                <w:tcPr/>
                <w:p>
                  <w:pPr>
                    <w:pStyle w:val="Compact"/>
                    <w:jc w:val="left"/>
                    <w:jc w:val="left"/>
                  </w:pPr>
                  <w:r>
                    <w:t xml:space="preserve">Benzoic acid</w:t>
                  </w:r>
                </w:p>
              </w:tc>
              <w:tc>
                <w:tcPr/>
                <w:p>
                  <w:pPr>
                    <w:pStyle w:val="Compact"/>
                    <w:jc w:val="right"/>
                    <w:jc w:val="left"/>
                  </w:pPr>
                  <w:r>
                    <w:t xml:space="preserve">1</w:t>
                  </w:r>
                </w:p>
              </w:tc>
              <w:tc>
                <w:tcPr/>
                <w:p>
                  <w:pPr>
                    <w:pStyle w:val="Compact"/>
                    <w:jc w:val="right"/>
                    <w:jc w:val="left"/>
                  </w:pPr>
                  <w:r>
                    <w:t xml:space="preserve">2.6241</w:t>
                  </w:r>
                </w:p>
              </w:tc>
            </w:tr>
            <w:tr>
              <w:tc>
                <w:tcPr/>
                <w:p>
                  <w:pPr>
                    <w:pStyle w:val="Compact"/>
                    <w:jc w:val="left"/>
                    <w:jc w:val="left"/>
                  </w:pPr>
                  <w:r>
                    <w:t xml:space="preserve">Triphenyl phosphate</w:t>
                  </w:r>
                </w:p>
              </w:tc>
              <w:tc>
                <w:tcPr/>
                <w:p>
                  <w:pPr>
                    <w:pStyle w:val="Compact"/>
                    <w:jc w:val="right"/>
                    <w:jc w:val="left"/>
                  </w:pPr>
                  <w:r>
                    <w:t xml:space="preserve">1</w:t>
                  </w:r>
                </w:p>
              </w:tc>
              <w:tc>
                <w:tcPr/>
                <w:p>
                  <w:pPr>
                    <w:pStyle w:val="Compact"/>
                    <w:jc w:val="right"/>
                    <w:jc w:val="left"/>
                  </w:pPr>
                  <w:r>
                    <w:t xml:space="preserve">2.3182</w:t>
                  </w:r>
                </w:p>
              </w:tc>
            </w:tr>
            <w:tr>
              <w:tc>
                <w:tcPr/>
                <w:p>
                  <w:pPr>
                    <w:pStyle w:val="Compact"/>
                    <w:jc w:val="left"/>
                    <w:jc w:val="left"/>
                  </w:pPr>
                  <w:r>
                    <w:t xml:space="preserve">Ethyl acetate</w:t>
                  </w:r>
                </w:p>
              </w:tc>
              <w:tc>
                <w:tcPr/>
                <w:p>
                  <w:pPr>
                    <w:pStyle w:val="Compact"/>
                    <w:jc w:val="right"/>
                    <w:jc w:val="left"/>
                  </w:pPr>
                  <w:r>
                    <w:t xml:space="preserve">1</w:t>
                  </w:r>
                </w:p>
              </w:tc>
              <w:tc>
                <w:tcPr/>
                <w:p>
                  <w:pPr>
                    <w:pStyle w:val="Compact"/>
                    <w:jc w:val="right"/>
                    <w:jc w:val="left"/>
                  </w:pPr>
                  <w:r>
                    <w:t xml:space="preserve">2.2377</w:t>
                  </w:r>
                </w:p>
              </w:tc>
            </w:tr>
            <w:tr>
              <w:tc>
                <w:tcPr/>
                <w:p>
                  <w:pPr>
                    <w:pStyle w:val="Compact"/>
                    <w:jc w:val="left"/>
                    <w:jc w:val="left"/>
                  </w:pPr>
                  <w:r>
                    <w:t xml:space="preserve">Methyl ethyl ketone</w:t>
                  </w:r>
                </w:p>
              </w:tc>
              <w:tc>
                <w:tcPr/>
                <w:p>
                  <w:pPr>
                    <w:pStyle w:val="Compact"/>
                    <w:jc w:val="right"/>
                    <w:jc w:val="left"/>
                  </w:pPr>
                  <w:r>
                    <w:t xml:space="preserve">1</w:t>
                  </w:r>
                </w:p>
              </w:tc>
              <w:tc>
                <w:tcPr/>
                <w:p>
                  <w:pPr>
                    <w:pStyle w:val="Compact"/>
                    <w:jc w:val="right"/>
                    <w:jc w:val="left"/>
                  </w:pPr>
                  <w:r>
                    <w:t xml:space="preserve">2.2270</w:t>
                  </w:r>
                </w:p>
              </w:tc>
            </w:tr>
            <w:tr>
              <w:tc>
                <w:tcPr/>
                <w:p>
                  <w:pPr>
                    <w:pStyle w:val="Compact"/>
                    <w:jc w:val="left"/>
                    <w:jc w:val="left"/>
                  </w:pPr>
                  <w:r>
                    <w:t xml:space="preserve">Ethylene glycol</w:t>
                  </w:r>
                </w:p>
              </w:tc>
              <w:tc>
                <w:tcPr/>
                <w:p>
                  <w:pPr>
                    <w:pStyle w:val="Compact"/>
                    <w:jc w:val="right"/>
                    <w:jc w:val="left"/>
                  </w:pPr>
                  <w:r>
                    <w:t xml:space="preserve">1</w:t>
                  </w:r>
                </w:p>
              </w:tc>
              <w:tc>
                <w:tcPr/>
                <w:p>
                  <w:pPr>
                    <w:pStyle w:val="Compact"/>
                    <w:jc w:val="right"/>
                    <w:jc w:val="left"/>
                  </w:pPr>
                  <w:r>
                    <w:t xml:space="preserve">2.2057</w:t>
                  </w:r>
                </w:p>
              </w:tc>
            </w:tr>
            <w:tr>
              <w:tc>
                <w:tcPr/>
                <w:p>
                  <w:pPr>
                    <w:pStyle w:val="Compact"/>
                    <w:jc w:val="left"/>
                    <w:jc w:val="left"/>
                  </w:pPr>
                  <w:r>
                    <w:t xml:space="preserve">Benzyl butyl phthalate</w:t>
                  </w:r>
                </w:p>
              </w:tc>
              <w:tc>
                <w:tcPr/>
                <w:p>
                  <w:pPr>
                    <w:pStyle w:val="Compact"/>
                    <w:jc w:val="right"/>
                    <w:jc w:val="left"/>
                  </w:pPr>
                  <w:r>
                    <w:t xml:space="preserve">1</w:t>
                  </w:r>
                </w:p>
              </w:tc>
              <w:tc>
                <w:tcPr/>
                <w:p>
                  <w:pPr>
                    <w:pStyle w:val="Compact"/>
                    <w:jc w:val="right"/>
                    <w:jc w:val="left"/>
                  </w:pPr>
                  <w:r>
                    <w:t xml:space="preserve">2.2006</w:t>
                  </w:r>
                </w:p>
              </w:tc>
            </w:tr>
          </w:tbl>
          <w:bookmarkEnd w:id="50"/>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bookmarkStart w:id="51" w:name="tbl-scenario2-3"/>
          <w:p>
            <w:pPr>
              <w:jc w:val="left"/>
            </w:pPr>
            <w:pPr>
              <w:jc w:val="center"/>
              <w:spacing w:before="200"/>
              <w:pStyle w:val="ImageCaption"/>
            </w:pPr>
            <w:r>
              <w:t xml:space="preserve">(c) Chronic hazard prioritization by compound</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preferredName</w:t>
                  </w:r>
                </w:p>
              </w:tc>
              <w:tc>
                <w:tcPr/>
                <w:p>
                  <w:pPr>
                    <w:pStyle w:val="Compact"/>
                    <w:jc w:val="right"/>
                    <w:jc w:val="left"/>
                  </w:pPr>
                  <w:r>
                    <w:t xml:space="preserve">count</w:t>
                  </w:r>
                </w:p>
              </w:tc>
              <w:tc>
                <w:tcPr/>
                <w:p>
                  <w:pPr>
                    <w:pStyle w:val="Compact"/>
                    <w:jc w:val="right"/>
                    <w:jc w:val="left"/>
                  </w:pPr>
                  <w:r>
                    <w:t xml:space="preserve">avg_score</w:t>
                  </w:r>
                </w:p>
              </w:tc>
            </w:tr>
            <w:tr>
              <w:tc>
                <w:tcPr/>
                <w:p>
                  <w:pPr>
                    <w:pStyle w:val="Compact"/>
                    <w:jc w:val="left"/>
                    <w:jc w:val="left"/>
                  </w:pPr>
                  <w:r>
                    <w:t xml:space="preserve">Benzyl butyl phthalate</w:t>
                  </w:r>
                </w:p>
              </w:tc>
              <w:tc>
                <w:tcPr/>
                <w:p>
                  <w:pPr>
                    <w:pStyle w:val="Compact"/>
                    <w:jc w:val="right"/>
                    <w:jc w:val="left"/>
                  </w:pPr>
                  <w:r>
                    <w:t xml:space="preserve">4</w:t>
                  </w:r>
                </w:p>
              </w:tc>
              <w:tc>
                <w:tcPr/>
                <w:p>
                  <w:pPr>
                    <w:pStyle w:val="Compact"/>
                    <w:jc w:val="right"/>
                    <w:jc w:val="left"/>
                  </w:pPr>
                  <w:r>
                    <w:t xml:space="preserve">5.350200</w:t>
                  </w:r>
                </w:p>
              </w:tc>
            </w:tr>
            <w:tr>
              <w:tc>
                <w:tcPr/>
                <w:p>
                  <w:pPr>
                    <w:pStyle w:val="Compact"/>
                    <w:jc w:val="left"/>
                    <w:jc w:val="left"/>
                  </w:pPr>
                  <w:r>
                    <w:t xml:space="preserve">Pentachlorophenol</w:t>
                  </w:r>
                </w:p>
              </w:tc>
              <w:tc>
                <w:tcPr/>
                <w:p>
                  <w:pPr>
                    <w:pStyle w:val="Compact"/>
                    <w:jc w:val="right"/>
                    <w:jc w:val="left"/>
                  </w:pPr>
                  <w:r>
                    <w:t xml:space="preserve">4</w:t>
                  </w:r>
                </w:p>
              </w:tc>
              <w:tc>
                <w:tcPr/>
                <w:p>
                  <w:pPr>
                    <w:pStyle w:val="Compact"/>
                    <w:jc w:val="right"/>
                    <w:jc w:val="left"/>
                  </w:pPr>
                  <w:r>
                    <w:t xml:space="preserve">5.281500</w:t>
                  </w:r>
                </w:p>
              </w:tc>
            </w:tr>
            <w:tr>
              <w:tc>
                <w:tcPr/>
                <w:p>
                  <w:pPr>
                    <w:pStyle w:val="Compact"/>
                    <w:jc w:val="left"/>
                    <w:jc w:val="left"/>
                  </w:pPr>
                  <w:r>
                    <w:t xml:space="preserve">Bisphenol A</w:t>
                  </w:r>
                </w:p>
              </w:tc>
              <w:tc>
                <w:tcPr/>
                <w:p>
                  <w:pPr>
                    <w:pStyle w:val="Compact"/>
                    <w:jc w:val="right"/>
                    <w:jc w:val="left"/>
                  </w:pPr>
                  <w:r>
                    <w:t xml:space="preserve">4</w:t>
                  </w:r>
                </w:p>
              </w:tc>
              <w:tc>
                <w:tcPr/>
                <w:p>
                  <w:pPr>
                    <w:pStyle w:val="Compact"/>
                    <w:jc w:val="right"/>
                    <w:jc w:val="left"/>
                  </w:pPr>
                  <w:r>
                    <w:t xml:space="preserve">4.782900</w:t>
                  </w:r>
                </w:p>
              </w:tc>
            </w:tr>
            <w:tr>
              <w:tc>
                <w:tcPr/>
                <w:p>
                  <w:pPr>
                    <w:pStyle w:val="Compact"/>
                    <w:jc w:val="left"/>
                    <w:jc w:val="left"/>
                  </w:pPr>
                  <w:r>
                    <w:t xml:space="preserve">1,4-Dichlorobenzene</w:t>
                  </w:r>
                </w:p>
              </w:tc>
              <w:tc>
                <w:tcPr/>
                <w:p>
                  <w:pPr>
                    <w:pStyle w:val="Compact"/>
                    <w:jc w:val="right"/>
                    <w:jc w:val="left"/>
                  </w:pPr>
                  <w:r>
                    <w:t xml:space="preserve">4</w:t>
                  </w:r>
                </w:p>
              </w:tc>
              <w:tc>
                <w:tcPr/>
                <w:p>
                  <w:pPr>
                    <w:pStyle w:val="Compact"/>
                    <w:jc w:val="right"/>
                    <w:jc w:val="left"/>
                  </w:pPr>
                  <w:r>
                    <w:t xml:space="preserve">4.560350</w:t>
                  </w:r>
                </w:p>
              </w:tc>
            </w:tr>
            <w:tr>
              <w:tc>
                <w:tcPr/>
                <w:p>
                  <w:pPr>
                    <w:pStyle w:val="Compact"/>
                    <w:jc w:val="left"/>
                    <w:jc w:val="left"/>
                  </w:pPr>
                  <w:r>
                    <w:t xml:space="preserve">Hydroquinone</w:t>
                  </w:r>
                </w:p>
              </w:tc>
              <w:tc>
                <w:tcPr/>
                <w:p>
                  <w:pPr>
                    <w:pStyle w:val="Compact"/>
                    <w:jc w:val="right"/>
                    <w:jc w:val="left"/>
                  </w:pPr>
                  <w:r>
                    <w:t xml:space="preserve">4</w:t>
                  </w:r>
                </w:p>
              </w:tc>
              <w:tc>
                <w:tcPr/>
                <w:p>
                  <w:pPr>
                    <w:pStyle w:val="Compact"/>
                    <w:jc w:val="right"/>
                    <w:jc w:val="left"/>
                  </w:pPr>
                  <w:r>
                    <w:t xml:space="preserve">4.478400</w:t>
                  </w:r>
                </w:p>
              </w:tc>
            </w:tr>
            <w:tr>
              <w:tc>
                <w:tcPr/>
                <w:p>
                  <w:pPr>
                    <w:pStyle w:val="Compact"/>
                    <w:jc w:val="left"/>
                    <w:jc w:val="left"/>
                  </w:pPr>
                  <w:r>
                    <w:t xml:space="preserve">Chlorpyrifos</w:t>
                  </w:r>
                </w:p>
              </w:tc>
              <w:tc>
                <w:tcPr/>
                <w:p>
                  <w:pPr>
                    <w:pStyle w:val="Compact"/>
                    <w:jc w:val="right"/>
                    <w:jc w:val="left"/>
                  </w:pPr>
                  <w:r>
                    <w:t xml:space="preserve">3</w:t>
                  </w:r>
                </w:p>
              </w:tc>
              <w:tc>
                <w:tcPr/>
                <w:p>
                  <w:pPr>
                    <w:pStyle w:val="Compact"/>
                    <w:jc w:val="right"/>
                    <w:jc w:val="left"/>
                  </w:pPr>
                  <w:r>
                    <w:t xml:space="preserve">4.412633</w:t>
                  </w:r>
                </w:p>
              </w:tc>
            </w:tr>
            <w:tr>
              <w:tc>
                <w:tcPr/>
                <w:p>
                  <w:pPr>
                    <w:pStyle w:val="Compact"/>
                    <w:jc w:val="left"/>
                    <w:jc w:val="left"/>
                  </w:pPr>
                  <w:r>
                    <w:t xml:space="preserve">Caffeine</w:t>
                  </w:r>
                </w:p>
              </w:tc>
              <w:tc>
                <w:tcPr/>
                <w:p>
                  <w:pPr>
                    <w:pStyle w:val="Compact"/>
                    <w:jc w:val="right"/>
                    <w:jc w:val="left"/>
                  </w:pPr>
                  <w:r>
                    <w:t xml:space="preserve">1</w:t>
                  </w:r>
                </w:p>
              </w:tc>
              <w:tc>
                <w:tcPr/>
                <w:p>
                  <w:pPr>
                    <w:pStyle w:val="Compact"/>
                    <w:jc w:val="right"/>
                    <w:jc w:val="left"/>
                  </w:pPr>
                  <w:r>
                    <w:t xml:space="preserve">4.536600</w:t>
                  </w:r>
                </w:p>
              </w:tc>
            </w:tr>
            <w:tr>
              <w:tc>
                <w:tcPr/>
                <w:p>
                  <w:pPr>
                    <w:pStyle w:val="Compact"/>
                    <w:jc w:val="left"/>
                    <w:jc w:val="left"/>
                  </w:pPr>
                  <w:r>
                    <w:t xml:space="preserve">2,4-Dichlorophenoxyacetic acid</w:t>
                  </w:r>
                </w:p>
              </w:tc>
              <w:tc>
                <w:tcPr/>
                <w:p>
                  <w:pPr>
                    <w:pStyle w:val="Compact"/>
                    <w:jc w:val="right"/>
                    <w:jc w:val="left"/>
                  </w:pPr>
                  <w:r>
                    <w:t xml:space="preserve">1</w:t>
                  </w:r>
                </w:p>
              </w:tc>
              <w:tc>
                <w:tcPr/>
                <w:p>
                  <w:pPr>
                    <w:pStyle w:val="Compact"/>
                    <w:jc w:val="right"/>
                    <w:jc w:val="left"/>
                  </w:pPr>
                  <w:r>
                    <w:t xml:space="preserve">4.120200</w:t>
                  </w:r>
                </w:p>
              </w:tc>
            </w:tr>
          </w:tbl>
          <w:bookmarkEnd w:id="51"/>
          <w:p/>
        </w:tc>
        <w:tc>
          <w:tcPr/>
          <w:p/>
        </w:tc>
        <w:tc>
          <w:tcPr/>
          <w:bookmarkStart w:id="52" w:name="tbl-scenario2-4"/>
          <w:p>
            <w:pPr>
              <w:jc w:val="left"/>
            </w:pPr>
            <w:pPr>
              <w:jc w:val="center"/>
              <w:spacing w:before="200"/>
              <w:pStyle w:val="ImageCaption"/>
            </w:pPr>
            <w:r>
              <w:t xml:space="preserve">(d) Chronic prioritization by location</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jc w:val="left"/>
                    <w:jc w:val="left"/>
                  </w:pPr>
                  <w:r>
                    <w:t xml:space="preserve">location</w:t>
                  </w:r>
                </w:p>
              </w:tc>
              <w:tc>
                <w:tcPr/>
                <w:p>
                  <w:pPr>
                    <w:pStyle w:val="Compact"/>
                    <w:jc w:val="right"/>
                    <w:jc w:val="left"/>
                  </w:pPr>
                  <w:r>
                    <w:t xml:space="preserve">count</w:t>
                  </w:r>
                </w:p>
              </w:tc>
              <w:tc>
                <w:tcPr/>
                <w:p>
                  <w:pPr>
                    <w:pStyle w:val="Compact"/>
                    <w:jc w:val="right"/>
                    <w:jc w:val="left"/>
                  </w:pPr>
                  <w:r>
                    <w:t xml:space="preserve">avg_score</w:t>
                  </w:r>
                </w:p>
              </w:tc>
            </w:tr>
            <w:tr>
              <w:tc>
                <w:tcPr/>
                <w:p>
                  <w:pPr>
                    <w:pStyle w:val="Compact"/>
                    <w:jc w:val="left"/>
                    <w:jc w:val="left"/>
                  </w:pPr>
                  <w:r>
                    <w:t xml:space="preserve">C</w:t>
                  </w:r>
                </w:p>
              </w:tc>
              <w:tc>
                <w:tcPr/>
                <w:p>
                  <w:pPr>
                    <w:pStyle w:val="Compact"/>
                    <w:jc w:val="right"/>
                    <w:jc w:val="left"/>
                  </w:pPr>
                  <w:r>
                    <w:t xml:space="preserve">7</w:t>
                  </w:r>
                </w:p>
              </w:tc>
              <w:tc>
                <w:tcPr/>
                <w:p>
                  <w:pPr>
                    <w:pStyle w:val="Compact"/>
                    <w:jc w:val="right"/>
                    <w:jc w:val="left"/>
                  </w:pPr>
                  <w:r>
                    <w:t xml:space="preserve">4.986809</w:t>
                  </w:r>
                </w:p>
              </w:tc>
            </w:tr>
            <w:tr>
              <w:tc>
                <w:tcPr/>
                <w:p>
                  <w:pPr>
                    <w:pStyle w:val="Compact"/>
                    <w:jc w:val="left"/>
                    <w:jc w:val="left"/>
                  </w:pPr>
                  <w:r>
                    <w:t xml:space="preserve">D</w:t>
                  </w:r>
                </w:p>
              </w:tc>
              <w:tc>
                <w:tcPr/>
                <w:p>
                  <w:pPr>
                    <w:pStyle w:val="Compact"/>
                    <w:jc w:val="right"/>
                    <w:jc w:val="left"/>
                  </w:pPr>
                  <w:r>
                    <w:t xml:space="preserve">6</w:t>
                  </w:r>
                </w:p>
              </w:tc>
              <w:tc>
                <w:tcPr/>
                <w:p>
                  <w:pPr>
                    <w:pStyle w:val="Compact"/>
                    <w:jc w:val="right"/>
                    <w:jc w:val="left"/>
                  </w:pPr>
                  <w:r>
                    <w:t xml:space="preserve">4.882053</w:t>
                  </w:r>
                </w:p>
              </w:tc>
            </w:tr>
            <w:tr>
              <w:tc>
                <w:tcPr/>
                <w:p>
                  <w:pPr>
                    <w:pStyle w:val="Compact"/>
                    <w:jc w:val="left"/>
                    <w:jc w:val="left"/>
                  </w:pPr>
                  <w:r>
                    <w:t xml:space="preserve">B</w:t>
                  </w:r>
                </w:p>
              </w:tc>
              <w:tc>
                <w:tcPr/>
                <w:p>
                  <w:pPr>
                    <w:pStyle w:val="Compact"/>
                    <w:jc w:val="right"/>
                    <w:jc w:val="left"/>
                  </w:pPr>
                  <w:r>
                    <w:t xml:space="preserve">6</w:t>
                  </w:r>
                </w:p>
              </w:tc>
              <w:tc>
                <w:tcPr/>
                <w:p>
                  <w:pPr>
                    <w:pStyle w:val="Compact"/>
                    <w:jc w:val="right"/>
                    <w:jc w:val="left"/>
                  </w:pPr>
                  <w:r>
                    <w:t xml:space="preserve">4.786349</w:t>
                  </w:r>
                </w:p>
              </w:tc>
            </w:tr>
            <w:tr>
              <w:tc>
                <w:tcPr/>
                <w:p>
                  <w:pPr>
                    <w:pStyle w:val="Compact"/>
                    <w:jc w:val="left"/>
                    <w:jc w:val="left"/>
                  </w:pPr>
                  <w:r>
                    <w:t xml:space="preserve">A</w:t>
                  </w:r>
                </w:p>
              </w:tc>
              <w:tc>
                <w:tcPr/>
                <w:p>
                  <w:pPr>
                    <w:pStyle w:val="Compact"/>
                    <w:jc w:val="right"/>
                    <w:jc w:val="left"/>
                  </w:pPr>
                  <w:r>
                    <w:t xml:space="preserve">6</w:t>
                  </w:r>
                </w:p>
              </w:tc>
              <w:tc>
                <w:tcPr/>
                <w:p>
                  <w:pPr>
                    <w:pStyle w:val="Compact"/>
                    <w:jc w:val="right"/>
                    <w:jc w:val="left"/>
                  </w:pPr>
                  <w:r>
                    <w:t xml:space="preserve">4.745914</w:t>
                  </w:r>
                </w:p>
              </w:tc>
            </w:tr>
          </w:tbl>
          <w:bookmarkEnd w:id="52"/>
          <w:p/>
        </w:tc>
        <w:tc>
          <w:tcPr/>
          <w:p/>
        </w:tc>
      </w:tr>
    </w:tbl>
    <w:p>
      <w:pPr>
        <w:pStyle w:val="BodyText"/>
      </w:pPr>
      <w:pPr>
        <w:spacing w:before="200"/>
        <w:pStyle w:val="ImageCaption"/>
      </w:pPr>
      <w:r>
        <w:t xml:space="preserve">Table 9: Scenario 2: Acute vs Chronic Prioritization</w:t>
      </w:r>
    </w:p>
    <w:bookmarkEnd w:id="53"/>
    <w:bookmarkEnd w:id="54"/>
    <w:bookmarkEnd w:id="55"/>
    <w:bookmarkEnd w:id="56"/>
    <w:bookmarkStart w:id="60" w:name="comparisons-to-other-relevant-r-packages"/>
    <w:p>
      <w:pPr>
        <w:pStyle w:val="Heading2"/>
      </w:pPr>
      <w:r>
        <w:t xml:space="preserve">Comparisons to other relevant R packages</w:t>
      </w:r>
    </w:p>
    <w:bookmarkStart w:id="57" w:name="webchem"/>
    <w:p>
      <w:pPr>
        <w:pStyle w:val="Heading3"/>
      </w:pPr>
      <w:r>
        <w:rPr>
          <w:rStyle w:val="VerbatimChar"/>
        </w:rPr>
        <w:t xml:space="preserve">webchem</w:t>
      </w:r>
    </w:p>
    <w:p>
      <w:pPr>
        <w:pStyle w:val="FirstParagraph"/>
      </w:pPr>
      <w:r>
        <w:rPr>
          <w:rStyle w:val="VerbatimChar"/>
        </w:rPr>
        <w:t xml:space="preserve">webchem</w:t>
      </w:r>
      <w:r>
        <w:t xml:space="preserve"> </w:t>
      </w:r>
      <w:r>
        <w:t xml:space="preserve">is a</w:t>
      </w:r>
      <w:r>
        <w:t xml:space="preserve"> </w:t>
      </w:r>
      <w:r>
        <w:t xml:space="preserve">“</w:t>
      </w:r>
      <w:r>
        <w:t xml:space="preserve">R package to retrieve chemical information from the web…</w:t>
      </w:r>
      <w:r>
        <w:t xml:space="preserve">”</w:t>
      </w:r>
      <w:r>
        <w:t xml:space="preserve"> </w:t>
      </w:r>
      <w:r>
        <w:t xml:space="preserve">and provides access to</w:t>
      </w:r>
      <w:r>
        <w:t xml:space="preserve"> </w:t>
      </w:r>
      <w:r>
        <w:t xml:space="preserve">“</w:t>
      </w:r>
      <w:r>
        <w:t xml:space="preserve">a suite of web APIs to retrieve chemical information</w:t>
      </w:r>
      <w:r>
        <w:t xml:space="preserve">”</w:t>
      </w:r>
      <w:r>
        <w:t xml:space="preserve"> </w:t>
      </w:r>
      <w:r>
        <w:t xml:space="preserve">from a variety of disparate databases. Some of the the databases (e.g.: ChemSpider) require a separate API token to access. Curation quality of these databases is not reported.</w:t>
      </w:r>
    </w:p>
    <w:p>
      <w:pPr>
        <w:pStyle w:val="BodyText"/>
      </w:pPr>
      <w:r>
        <w:t xml:space="preserve">Comparatively,</w:t>
      </w:r>
      <w:r>
        <w:t xml:space="preserve"> </w:t>
      </w:r>
      <w:r>
        <w:rPr>
          <w:rStyle w:val="VerbatimChar"/>
        </w:rPr>
        <w:t xml:space="preserve">ComptoxR</w:t>
      </w:r>
      <w:r>
        <w:t xml:space="preserve"> </w:t>
      </w:r>
      <w:r>
        <w:t xml:space="preserve">provides a single point of access to a variety of already curated and integrated databases under the</w:t>
      </w:r>
      <w:r>
        <w:t xml:space="preserve"> </w:t>
      </w:r>
      <w:r>
        <w:t xml:space="preserve">‘</w:t>
      </w:r>
      <w:r>
        <w:t xml:space="preserve">umbrella</w:t>
      </w:r>
      <w:r>
        <w:t xml:space="preserve">’</w:t>
      </w:r>
      <w:r>
        <w:t xml:space="preserve"> </w:t>
      </w:r>
      <w:r>
        <w:t xml:space="preserve">of CCD. Users can query one compound and retrieve results from upwards of 30</w:t>
      </w:r>
      <w:r>
        <w:t xml:space="preserve"> </w:t>
      </w:r>
      <w:r>
        <w:rPr>
          <w:bCs/>
          <w:b/>
        </w:rPr>
        <w:t xml:space="preserve">DOUBLE CHECK</w:t>
      </w:r>
      <w:r>
        <w:t xml:space="preserve"> </w:t>
      </w:r>
      <w:r>
        <w:t xml:space="preserve">databases and aggregate results at their leisure.</w:t>
      </w:r>
    </w:p>
    <w:p>
      <w:pPr>
        <w:pStyle w:val="BodyText"/>
      </w:pPr>
      <w:r>
        <w:t xml:space="preserve">Currently</w:t>
      </w:r>
      <w:r>
        <w:t xml:space="preserve"> </w:t>
      </w:r>
      <w:r>
        <w:rPr>
          <w:rStyle w:val="VerbatimChar"/>
        </w:rPr>
        <w:t xml:space="preserve">ComptoxR</w:t>
      </w:r>
      <w:r>
        <w:t xml:space="preserve"> </w:t>
      </w:r>
      <w:r>
        <w:t xml:space="preserve">relies on</w:t>
      </w:r>
      <w:r>
        <w:t xml:space="preserve"> </w:t>
      </w:r>
      <w:r>
        <w:rPr>
          <w:rStyle w:val="VerbatimChar"/>
        </w:rPr>
        <w:t xml:space="preserve">webchem</w:t>
      </w:r>
      <w:r>
        <w:t xml:space="preserve"> </w:t>
      </w:r>
      <w:r>
        <w:t xml:space="preserve">to pull GHS data, but aims to depreciate this dependency as internal efforts at US EPA continue to work towards hosting and curating GHS data.</w:t>
      </w:r>
    </w:p>
    <w:p>
      <w:pPr>
        <w:pStyle w:val="BodyText"/>
      </w:pPr>
      <w:r>
        <w:rPr>
          <w:rStyle w:val="VerbatimChar"/>
        </w:rPr>
        <w:t xml:space="preserve">standartox</w:t>
      </w:r>
    </w:p>
    <w:bookmarkEnd w:id="57"/>
    <w:bookmarkStart w:id="58" w:name="ecotoxr"/>
    <w:p>
      <w:pPr>
        <w:pStyle w:val="Heading3"/>
      </w:pPr>
      <w:r>
        <w:rPr>
          <w:rStyle w:val="VerbatimChar"/>
        </w:rPr>
        <w:t xml:space="preserve">ECOTOXr</w:t>
      </w:r>
    </w:p>
    <w:p>
      <w:pPr>
        <w:pStyle w:val="FirstParagraph"/>
      </w:pPr>
      <w:r>
        <w:rPr>
          <w:rStyle w:val="VerbatimChar"/>
        </w:rPr>
        <w:t xml:space="preserve">ECOTOXr</w:t>
      </w:r>
      <w:r>
        <w:t xml:space="preserve"> </w:t>
      </w:r>
      <w:r>
        <w:t xml:space="preserve">allows for a local download and storage of the US EPA’s</w:t>
      </w:r>
      <w:r>
        <w:t xml:space="preserve"> </w:t>
      </w:r>
      <w:r>
        <w:t xml:space="preserve">‘</w:t>
      </w:r>
      <w:r>
        <w:t xml:space="preserve">ECOTOX</w:t>
      </w:r>
      <w:r>
        <w:t xml:space="preserve">’</w:t>
      </w:r>
      <w:r>
        <w:t xml:space="preserve"> </w:t>
      </w:r>
      <w:r>
        <w:t xml:space="preserve">environmental database in a SQLite format for query. As of writing, ECOTOX does not have an API for querying this database.</w:t>
      </w:r>
    </w:p>
    <w:p>
      <w:pPr>
        <w:pStyle w:val="BodyText"/>
      </w:pPr>
      <w:r>
        <w:t xml:space="preserve">ECOTOX is covered under the CCD</w:t>
      </w:r>
      <w:r>
        <w:t xml:space="preserve"> </w:t>
      </w:r>
      <w:r>
        <w:t xml:space="preserve">‘</w:t>
      </w:r>
      <w:r>
        <w:t xml:space="preserve">umbrella</w:t>
      </w:r>
      <w:r>
        <w:t xml:space="preserve">’</w:t>
      </w:r>
      <w:r>
        <w:t xml:space="preserve"> </w:t>
      </w:r>
      <w:r>
        <w:t xml:space="preserve">of databases and is thus covered under this package.</w:t>
      </w:r>
      <w:r>
        <w:t xml:space="preserve"> </w:t>
      </w:r>
      <w:r>
        <w:rPr>
          <w:rStyle w:val="VerbatimChar"/>
        </w:rPr>
        <w:t xml:space="preserve">ComptoxR</w:t>
      </w:r>
      <w:r>
        <w:t xml:space="preserve"> </w:t>
      </w:r>
      <w:r>
        <w:t xml:space="preserve">does not natively store data automatically, but returned queries can be saved in a variety of R storage formats and recalled later.</w:t>
      </w:r>
    </w:p>
    <w:bookmarkEnd w:id="58"/>
    <w:bookmarkStart w:id="59" w:name="toxpir"/>
    <w:p>
      <w:pPr>
        <w:pStyle w:val="Heading3"/>
      </w:pPr>
      <w:r>
        <w:rPr>
          <w:rStyle w:val="VerbatimChar"/>
        </w:rPr>
        <w:t xml:space="preserve">toxpiR</w:t>
      </w:r>
    </w:p>
    <w:p>
      <w:pPr>
        <w:pStyle w:val="FirstParagraph"/>
      </w:pPr>
      <w:r>
        <w:rPr>
          <w:rStyle w:val="VerbatimChar"/>
        </w:rPr>
        <w:t xml:space="preserve">toxpiR</w:t>
      </w:r>
      <w:r>
        <w:t xml:space="preserve"> </w:t>
      </w:r>
      <w:r>
        <w:t xml:space="preserve">is a native implementation of the Toxicological Priority Index (ToxPi) prioritization algorithm, and purports to offer more flexibility than the ToxPi GUI.</w:t>
      </w:r>
    </w:p>
    <w:p>
      <w:pPr>
        <w:pStyle w:val="BodyText"/>
      </w:pPr>
      <w:r>
        <w:t xml:space="preserve">Inherently, the math behind the ToxPi algorithm is not hard to reproduce (a min-max normalization scheme), but the</w:t>
      </w:r>
      <w:r>
        <w:t xml:space="preserve"> </w:t>
      </w:r>
      <w:r>
        <w:rPr>
          <w:rStyle w:val="VerbatimChar"/>
        </w:rPr>
        <w:t xml:space="preserve">toxpiR</w:t>
      </w:r>
      <w:r>
        <w:t xml:space="preserve"> </w:t>
      </w:r>
      <w:r>
        <w:t xml:space="preserve">package utilizes the</w:t>
      </w:r>
      <w:r>
        <w:t xml:space="preserve"> </w:t>
      </w:r>
      <w:r>
        <w:rPr>
          <w:rStyle w:val="VerbatimChar"/>
        </w:rPr>
        <w:t xml:space="preserve">R6</w:t>
      </w:r>
      <w:r>
        <w:t xml:space="preserve"> </w:t>
      </w:r>
      <w:r>
        <w:t xml:space="preserve">reference class and may not be as easily accessible to all users. In comparison, the</w:t>
      </w:r>
      <w:r>
        <w:t xml:space="preserve"> </w:t>
      </w:r>
      <w:r>
        <w:rPr>
          <w:rStyle w:val="VerbatimChar"/>
        </w:rPr>
        <w:t xml:space="preserve">tp</w:t>
      </w:r>
      <w:r>
        <w:t xml:space="preserve"> </w:t>
      </w:r>
      <w:r>
        <w:t xml:space="preserve">function made available through</w:t>
      </w:r>
      <w:r>
        <w:t xml:space="preserve"> </w:t>
      </w:r>
      <w:r>
        <w:rPr>
          <w:rStyle w:val="VerbatimChar"/>
        </w:rPr>
        <w:t xml:space="preserve">ComptoxR</w:t>
      </w:r>
      <w:r>
        <w:t xml:space="preserve"> </w:t>
      </w:r>
      <w:r>
        <w:t xml:space="preserve">takes two data frame objects (a weighing table and a table holding the parent data) and performs the normalization scheme. We also offer the ability to back-fill data gaps with the minimum, mean, maximum (as supported by a meta-analysis</w:t>
      </w:r>
      <w:r>
        <w:t xml:space="preserve"> </w:t>
      </w:r>
      <w:r>
        <w:t xml:space="preserve">@to_2018</w:t>
      </w:r>
      <w:r>
        <w:t xml:space="preserve">), as well as 50% of the lowest non-zero value of a given endpoint, and provide meta-statistics on the quality of data being analyzed.</w:t>
      </w:r>
    </w:p>
    <w:bookmarkEnd w:id="59"/>
    <w:bookmarkEnd w:id="60"/>
    <w:bookmarkStart w:id="61" w:name="open-science"/>
    <w:p>
      <w:pPr>
        <w:pStyle w:val="Heading2"/>
      </w:pPr>
      <w:r>
        <w:t xml:space="preserve">Open science</w:t>
      </w:r>
    </w:p>
    <w:p>
      <w:pPr>
        <w:pStyle w:val="FirstParagraph"/>
      </w:pPr>
      <w:r>
        <w:t xml:space="preserve">Given the open-source nature of this project, all source code is currently hosted on an US EPA Github, with future plans to submit to CRAN when development is stable. Code is licensed under the [</w:t>
      </w:r>
      <w:r>
        <w:rPr>
          <w:bCs/>
          <w:b/>
        </w:rPr>
        <w:t xml:space="preserve">INSERT</w:t>
      </w:r>
      <w:r>
        <w:t xml:space="preserve">] license.</w:t>
      </w:r>
    </w:p>
    <w:bookmarkEnd w:id="61"/>
    <w:bookmarkStart w:id="62" w:name="further-development"/>
    <w:p>
      <w:pPr>
        <w:pStyle w:val="Heading2"/>
      </w:pPr>
      <w:r>
        <w:t xml:space="preserve">Further Development</w:t>
      </w:r>
    </w:p>
    <w:p>
      <w:pPr>
        <w:pStyle w:val="FirstParagraph"/>
      </w:pPr>
      <w:r>
        <w:t xml:space="preserve">Looking forward, we aim to continue to add new data sources. While available, but not currently built out as-of the writing of this paper is the bio-activity data sets from CCD. We also look to adding data endpoints such as product usage, product volume, as well as GHS data. Finally, we envision addition of other</w:t>
      </w:r>
      <w:r>
        <w:t xml:space="preserve"> </w:t>
      </w:r>
      <w:r>
        <w:t xml:space="preserve">‘</w:t>
      </w:r>
      <w:r>
        <w:t xml:space="preserve">Hazard Comparison</w:t>
      </w:r>
      <w:r>
        <w:t xml:space="preserve">’</w:t>
      </w:r>
      <w:r>
        <w:t xml:space="preserve"> </w:t>
      </w:r>
      <w:r>
        <w:t xml:space="preserve">endpoints to better suit risk-assessor needs.</w:t>
      </w:r>
    </w:p>
    <w:bookmarkEnd w:id="62"/>
    <w:bookmarkStart w:id="66" w:name="conclusions"/>
    <w:p>
      <w:pPr>
        <w:pStyle w:val="Heading2"/>
      </w:pPr>
      <w:r>
        <w:t xml:space="preserve">Conclusions</w:t>
      </w:r>
    </w:p>
    <w:p>
      <w:pPr>
        <w:pStyle w:val="FirstParagraph"/>
      </w:pPr>
      <w:r>
        <w:rPr>
          <w:rStyle w:val="VerbatimChar"/>
        </w:rPr>
        <w:t xml:space="preserve">ComptoxR</w:t>
      </w:r>
      <w:r>
        <w:t xml:space="preserve"> </w:t>
      </w:r>
      <w:r>
        <w:t xml:space="preserve">is a package that was designed to assist with retrieving high quality curated chemical data for various purposes.</w:t>
      </w:r>
    </w:p>
    <w:bookmarkStart w:id="63" w:name="disclaimer"/>
    <w:p>
      <w:pPr>
        <w:pStyle w:val="Heading5"/>
      </w:pPr>
      <w:r>
        <w:t xml:space="preserve">Disclaimer</w:t>
      </w:r>
    </w:p>
    <w:p>
      <w:pPr>
        <w:pStyle w:val="FirstParagraph"/>
      </w:pPr>
      <w:r>
        <w:t xml:space="preserve">This article was supported in part by an appointment to the Research Participation Program at the Office of Research and Development, Center for Environmental Solutions and Emergency Response, U.S. Environmental Protection Agency, administered by the Oak Ridge Institute for Science and Education through an interagency agreement between the U.S. Department of Energy and EPA.The views expressed in this article are those of the author(s) and do not necessarily represent the views or the policies of the U.S. Environmental Protection Agency. EPA is distributing this information solely as a public service.</w:t>
      </w:r>
    </w:p>
    <w:p>
      <w:pPr>
        <w:pStyle w:val="BodyText"/>
      </w:pPr>
      <w:r>
        <w:t xml:space="preserve">This R package is a compilation of information sourced from many databases and literature sources, including U.S. Federal and state sources and international bodies, which can save the user time by providing information in one location. The data are not fully reviewed by USEPA – the user must apply judgment in use of the information. You should consult the original scientific paper or data source if possible. Reference herein to any specific commercial products, process, or service by trade name, trademark, manufacturer, or otherwise, does not necessarily constitute or imply its endorsement, recommendation, or favoring by the United States Government. The views and opinions of the developers of the site expressed herein do not necessarily state or reflect those of the United States Government, and shall not be used for advertising or product endorsement purposes With respect to documents available from this server, neither the United States Government nor any of their employees, makes any warranty, express or implied, including the warranties of merchantability and fitness for a particular purpose, or assumes any legal liability or responsibility for the accuracy, completeness, or usefulness of any information, apparatus, product, or process disclosed, or represents that its use would not infringe privately owned rights.</w:t>
      </w:r>
    </w:p>
    <w:bookmarkEnd w:id="63"/>
    <w:bookmarkStart w:id="65" w:name="acknowledgements"/>
    <w:p>
      <w:pPr>
        <w:pStyle w:val="Heading5"/>
      </w:pPr>
      <w:r>
        <w:t xml:space="preserve">Acknowledgements</w:t>
      </w:r>
    </w:p>
    <w:p>
      <w:pPr>
        <w:pStyle w:val="FirstParagraph"/>
      </w:pPr>
      <w:r>
        <w:t xml:space="preserve">We are grateful to for their comments on the manuscript.</w:t>
      </w:r>
    </w:p>
    <w:bookmarkStart w:id="64" w:name="references"/>
    <w:p>
      <w:pPr>
        <w:pStyle w:val="Heading6"/>
      </w:pPr>
      <w:r>
        <w:t xml:space="preserve">References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omptox.epa.gov/genra/" TargetMode="External" /><Relationship Type="http://schemas.openxmlformats.org/officeDocument/2006/relationships/hyperlink" Id="rId43" Target="https://www.epa.gov/chemical-research/cheminformatics" TargetMode="External" /></Relationships>
</file>

<file path=word/_rels/footnotes.xml.rels><?xml version="1.0" encoding="UTF-8"?><Relationships xmlns="http://schemas.openxmlformats.org/package/2006/relationships"><Relationship Type="http://schemas.openxmlformats.org/officeDocument/2006/relationships/hyperlink" Id="rId38" Target="https://comptox.epa.gov/genra/" TargetMode="External" /><Relationship Type="http://schemas.openxmlformats.org/officeDocument/2006/relationships/hyperlink" Id="rId43" Target="https://www.epa.gov/chemical-research/cheminfor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ComptoxR: An R Package to Retrieve Compound Information from US EPA Products and APIs for Rapid Chemical Hazard, Risk, Toxicological Evaluation and Screening</dc:title>
  <dc:creator>Sean Thimons, Antony Williams</dc:creator>
  <cp:keywords/>
  <dcterms:created xsi:type="dcterms:W3CDTF">2023-09-05T20:13:57Z</dcterms:created>
  <dcterms:modified xsi:type="dcterms:W3CDTF">2023-09-05T20:13:57Z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