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BE6D39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Large Language Models | Cognitive Science | Psycholinguistics 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740F15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740F15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740F15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59E72974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2021-Present</w:t>
      </w:r>
    </w:p>
    <w:p w14:paraId="70CDB712" w14:textId="461BD33C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111D2814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 xml:space="preserve">[Fall, </w:t>
      </w:r>
      <w:r w:rsidR="003F2D7F">
        <w:rPr>
          <w:bCs/>
        </w:rPr>
        <w:t>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4A603559" w14:textId="4326BE75" w:rsidR="00E1621D" w:rsidRDefault="00E1621D" w:rsidP="00C93AB6">
      <w:pPr>
        <w:spacing w:line="276" w:lineRule="auto"/>
        <w:rPr>
          <w:iCs/>
        </w:rPr>
      </w:pPr>
      <w:r>
        <w:rPr>
          <w:iCs/>
        </w:rPr>
        <w:t>2024: Sydney Taylor (Faculty Mentor Program)</w:t>
      </w:r>
    </w:p>
    <w:p w14:paraId="7FBAAA47" w14:textId="4B9E553C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2023: Sidney Ma</w:t>
      </w:r>
      <w:r w:rsidR="00860C04">
        <w:rPr>
          <w:iCs/>
        </w:rPr>
        <w:t xml:space="preserve"> (Honors student)</w:t>
      </w:r>
      <w:r w:rsidRPr="00621DB5">
        <w:rPr>
          <w:iCs/>
        </w:rPr>
        <w:t xml:space="preserve">, </w:t>
      </w:r>
      <w:r w:rsidR="00A23820">
        <w:rPr>
          <w:iCs/>
        </w:rPr>
        <w:t>Yuhan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>Kai Bian</w:t>
      </w:r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</w:p>
    <w:p w14:paraId="44A06B83" w14:textId="46F40C78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2022: Owen Pi</w:t>
      </w:r>
    </w:p>
    <w:p w14:paraId="3BCA0C0F" w14:textId="029F0E68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Kaliblotzky</w:t>
      </w:r>
    </w:p>
    <w:p w14:paraId="6E86E0DB" w14:textId="0709CDB2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2020: Alex Liebscher</w:t>
      </w:r>
      <w:r w:rsidR="00860C04">
        <w:rPr>
          <w:iCs/>
        </w:rPr>
        <w:t xml:space="preserve"> (Honors student)</w:t>
      </w:r>
    </w:p>
    <w:p w14:paraId="2418578B" w14:textId="5A9386E8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740F15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10A0EDE2" w14:textId="67FED4BC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740F15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lastRenderedPageBreak/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740F15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DCD22BE" w14:textId="66DB6D85" w:rsidR="004D7BAE" w:rsidRPr="004D7BAE" w:rsidRDefault="004D7BAE" w:rsidP="004D7BAE">
      <w:pPr>
        <w:spacing w:line="276" w:lineRule="auto"/>
        <w:rPr>
          <w:color w:val="000000" w:themeColor="text1"/>
          <w:sz w:val="22"/>
          <w:szCs w:val="22"/>
          <w:u w:val="single"/>
        </w:rPr>
      </w:pPr>
      <w:r w:rsidRPr="004D7BAE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4D7BAE">
        <w:rPr>
          <w:color w:val="222222"/>
          <w:sz w:val="22"/>
          <w:szCs w:val="22"/>
          <w:shd w:val="clear" w:color="auto" w:fill="FFFFFF"/>
        </w:rPr>
        <w:t xml:space="preserve"> (</w:t>
      </w:r>
      <w:r w:rsidR="005B7BCB">
        <w:rPr>
          <w:color w:val="222222"/>
          <w:sz w:val="22"/>
          <w:szCs w:val="22"/>
          <w:shd w:val="clear" w:color="auto" w:fill="FFFFFF"/>
        </w:rPr>
        <w:t>2024</w:t>
      </w:r>
      <w:r w:rsidRPr="004D7BAE">
        <w:rPr>
          <w:color w:val="222222"/>
          <w:sz w:val="22"/>
          <w:szCs w:val="22"/>
          <w:shd w:val="clear" w:color="auto" w:fill="FFFFFF"/>
        </w:rPr>
        <w:t>). Can Large Language Models Help Augment English Psycholinguistic Datasets?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61EB076E" w14:textId="77777777" w:rsidR="004D7BAE" w:rsidRDefault="004D7BAE" w:rsidP="005401E6">
      <w:pPr>
        <w:rPr>
          <w:b/>
          <w:bCs/>
          <w:color w:val="222222"/>
          <w:shd w:val="clear" w:color="auto" w:fill="FFFFFF"/>
        </w:rPr>
      </w:pPr>
    </w:p>
    <w:p w14:paraId="719E8163" w14:textId="39F2010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41D248F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3120FC" w:rsidRDefault="003120FC" w:rsidP="003120FC">
      <w:pPr>
        <w:rPr>
          <w:color w:val="000000" w:themeColor="text1"/>
          <w:sz w:val="22"/>
          <w:szCs w:val="22"/>
        </w:rPr>
      </w:pPr>
      <w:r w:rsidRPr="003120FC">
        <w:rPr>
          <w:color w:val="000000" w:themeColor="text1"/>
          <w:sz w:val="22"/>
          <w:szCs w:val="22"/>
        </w:rPr>
        <w:t xml:space="preserve">Ruytenbeek,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06574278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</w:p>
    <w:p w14:paraId="5CBDA36D" w14:textId="3969F261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7479E08C" w14:textId="0FC249B3" w:rsidR="00070E38" w:rsidRPr="00DE7458" w:rsidRDefault="00F35DC6" w:rsidP="00F35DC6">
      <w:pPr>
        <w:spacing w:line="276" w:lineRule="auto"/>
        <w:rPr>
          <w:iCs/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>Liebscher, A., Trott, S., &amp; Bergen, B. (2020). Effects of Battle and Journey Metaphors on Charitable Donations for Cancer Patients.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CogSci</w:t>
      </w:r>
      <w:r w:rsidRPr="00DE7458">
        <w:rPr>
          <w:color w:val="222222"/>
          <w:sz w:val="22"/>
          <w:szCs w:val="22"/>
          <w:shd w:val="clear" w:color="auto" w:fill="FFFFFF"/>
        </w:rPr>
        <w:t>. (Acceptance rate: ~20.4%)</w:t>
      </w:r>
    </w:p>
    <w:p w14:paraId="1A715A51" w14:textId="62693E04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5B831D1" w14:textId="77777777" w:rsidR="00BB64A7" w:rsidRDefault="00BB64A7" w:rsidP="006F4EB0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3F3381C" w14:textId="6251111A" w:rsidR="009C1F47" w:rsidRPr="009C1F47" w:rsidRDefault="009C1F47" w:rsidP="009C1F47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Jones, C., </w:t>
      </w:r>
      <w:r>
        <w:rPr>
          <w:color w:val="222222"/>
          <w:sz w:val="22"/>
          <w:szCs w:val="22"/>
          <w:shd w:val="clear" w:color="auto" w:fill="FFFFFF"/>
        </w:rPr>
        <w:t xml:space="preserve">Bergen, B., 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Do Multimodal Large Language Models </w:t>
      </w:r>
      <w:r w:rsidR="00BD24CD">
        <w:rPr>
          <w:color w:val="222222"/>
          <w:sz w:val="22"/>
          <w:szCs w:val="22"/>
          <w:shd w:val="clear" w:color="auto" w:fill="FFFFFF"/>
        </w:rPr>
        <w:t>and Humans Ground Language Similarly?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  </w:t>
      </w:r>
    </w:p>
    <w:p w14:paraId="4418BC0E" w14:textId="77777777" w:rsidR="009C1F47" w:rsidRPr="009C1F47" w:rsidRDefault="009C1F47" w:rsidP="006F4EB0">
      <w:pPr>
        <w:spacing w:line="276" w:lineRule="auto"/>
        <w:contextualSpacing/>
        <w:rPr>
          <w:b/>
          <w:color w:val="0070C0"/>
          <w:sz w:val="22"/>
          <w:szCs w:val="22"/>
        </w:rPr>
      </w:pPr>
    </w:p>
    <w:p w14:paraId="18B1EF59" w14:textId="77777777" w:rsidR="005374B6" w:rsidRPr="009C1F47" w:rsidRDefault="00E072B3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Large Language Models and the Wisdom of Small Crowds.</w:t>
      </w:r>
    </w:p>
    <w:p w14:paraId="65F01385" w14:textId="77777777" w:rsidR="001A52F4" w:rsidRPr="009C1F47" w:rsidRDefault="001A52F4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</w:p>
    <w:p w14:paraId="00644BA8" w14:textId="77777777" w:rsidR="001A52F4" w:rsidRPr="009C1F47" w:rsidRDefault="001A52F4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Jones, C.,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Do Multimodal Large Language Models Show Evidence of Embodied Simulation?  </w:t>
      </w:r>
    </w:p>
    <w:p w14:paraId="136395E6" w14:textId="77777777" w:rsidR="0023605E" w:rsidRPr="009C1F47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Pr="009C1F47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303C2FD6" w14:textId="539266B1" w:rsidR="0023605E" w:rsidRDefault="0023605E" w:rsidP="0023605E">
      <w:pPr>
        <w:spacing w:line="276" w:lineRule="auto"/>
        <w:rPr>
          <w:color w:val="222222"/>
          <w:shd w:val="clear" w:color="auto" w:fill="FFFFFF"/>
        </w:rPr>
      </w:pPr>
    </w:p>
    <w:p w14:paraId="1CB6EA03" w14:textId="77777777" w:rsidR="0023605E" w:rsidRDefault="0023605E" w:rsidP="00381755">
      <w:pPr>
        <w:rPr>
          <w:color w:val="222222"/>
          <w:shd w:val="clear" w:color="auto" w:fill="FFFFFF"/>
        </w:rPr>
      </w:pP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B33D52D" w14:textId="065BC18C" w:rsidR="00E00AB6" w:rsidRDefault="00740F15" w:rsidP="00E00AB6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680663D" w14:textId="77777777" w:rsidR="00E00AB6" w:rsidRDefault="00E00AB6" w:rsidP="00E00AB6">
      <w:pPr>
        <w:spacing w:line="276" w:lineRule="auto"/>
        <w:contextualSpacing/>
      </w:pPr>
    </w:p>
    <w:p w14:paraId="55DB565A" w14:textId="684664D3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FD5E2D" w:rsidRDefault="00673D4B" w:rsidP="00673D4B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neighborhoods?.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221F3EF6" w14:textId="77777777" w:rsidR="00673D4B" w:rsidRPr="00EC5E69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23BF1FE9" w14:textId="77777777" w:rsidR="00673D4B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30970C03" w14:textId="6D851EF3" w:rsidR="00673D4B" w:rsidRPr="00605C7D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3C79759B" w14:textId="4657D93D" w:rsidR="00197326" w:rsidRPr="00D66CD4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Trott, S., </w:t>
      </w:r>
      <w:r>
        <w:rPr>
          <w:color w:val="222222"/>
          <w:shd w:val="clear" w:color="auto" w:fill="FFFFFF"/>
        </w:rPr>
        <w:t xml:space="preserve">Walker, D. (2023). Do Large Language </w:t>
      </w:r>
      <w:r w:rsidR="00D66CD4">
        <w:rPr>
          <w:color w:val="222222"/>
          <w:shd w:val="clear" w:color="auto" w:fill="FFFFFF"/>
        </w:rPr>
        <w:t xml:space="preserve">Models Display the Fundamental Attribution Error? Presented at </w:t>
      </w:r>
      <w:r w:rsidR="00D66CD4">
        <w:rPr>
          <w:i/>
          <w:iCs/>
          <w:color w:val="222222"/>
          <w:shd w:val="clear" w:color="auto" w:fill="FFFFFF"/>
        </w:rPr>
        <w:t>Society for Judgment and Decision-Making (SJDM) 2023, in San Francisco, California</w:t>
      </w:r>
      <w:r w:rsidR="00D66CD4">
        <w:rPr>
          <w:color w:val="222222"/>
          <w:shd w:val="clear" w:color="auto" w:fill="FFFFFF"/>
        </w:rPr>
        <w:t>.</w:t>
      </w:r>
    </w:p>
    <w:p w14:paraId="3357E845" w14:textId="77777777" w:rsidR="00197326" w:rsidRPr="00197326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</w:p>
    <w:p w14:paraId="507631C9" w14:textId="3A743272" w:rsidR="00F74940" w:rsidRDefault="00F74940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 w:rsidRPr="00F74940">
        <w:rPr>
          <w:b/>
          <w:bCs/>
          <w:color w:val="222222"/>
          <w:shd w:val="clear" w:color="auto" w:fill="FFFFFF"/>
        </w:rPr>
        <w:t>Trott, S.,</w:t>
      </w:r>
      <w:r w:rsidRPr="00F74940">
        <w:rPr>
          <w:color w:val="2222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>
        <w:rPr>
          <w:i/>
          <w:iCs/>
          <w:color w:val="222222"/>
          <w:shd w:val="clear" w:color="auto" w:fill="FFFFFF"/>
        </w:rPr>
        <w:t>The Annual Meeting of the Cognitive Science Society, 2019</w:t>
      </w:r>
      <w:r w:rsidR="00D66CD4">
        <w:rPr>
          <w:color w:val="222222"/>
          <w:shd w:val="clear" w:color="auto" w:fill="FFFFFF"/>
        </w:rPr>
        <w:t xml:space="preserve">, </w:t>
      </w:r>
      <w:r w:rsidR="00D66CD4" w:rsidRPr="00D66CD4">
        <w:rPr>
          <w:i/>
          <w:iCs/>
          <w:color w:val="222222"/>
          <w:shd w:val="clear" w:color="auto" w:fill="FFFFFF"/>
        </w:rPr>
        <w:t>Montreal, Canada.</w:t>
      </w:r>
    </w:p>
    <w:p w14:paraId="056DD7A7" w14:textId="77777777" w:rsidR="00F74940" w:rsidRPr="00F74940" w:rsidRDefault="00F74940" w:rsidP="006C3D73">
      <w:pPr>
        <w:pStyle w:val="NormalWeb"/>
        <w:spacing w:line="276" w:lineRule="auto"/>
        <w:ind w:left="480" w:hanging="480"/>
        <w:contextualSpacing/>
        <w:rPr>
          <w:b/>
        </w:rPr>
      </w:pPr>
    </w:p>
    <w:p w14:paraId="69BA2063" w14:textId="2AA61558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Rossano, F. (2017). Theoretical Concerns for the Integration of Repair. </w:t>
      </w:r>
      <w:r w:rsidRPr="00527CBB">
        <w:rPr>
          <w:i/>
        </w:rPr>
        <w:t>AAAI Fall Symposia Series: AI for Human-Robot Interaction.</w:t>
      </w:r>
      <w:r w:rsidR="00453BC9">
        <w:rPr>
          <w:i/>
        </w:rPr>
        <w:t xml:space="preserve"> Arlington, Virginia.</w:t>
      </w:r>
    </w:p>
    <w:p w14:paraId="24795B32" w14:textId="77777777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</w:p>
    <w:p w14:paraId="5EAC4FD9" w14:textId="5C3EAC3B" w:rsidR="006C3D73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Bergen, B. (2017). A Theoretical Model of Indirect Request Comprehension. </w:t>
      </w:r>
      <w:r w:rsidRPr="00527CBB">
        <w:rPr>
          <w:i/>
        </w:rPr>
        <w:t>AAAI Fall Symposia Series: AI for Human-Robot Interaction.</w:t>
      </w:r>
      <w:r w:rsidR="00453BC9" w:rsidRPr="00453BC9">
        <w:rPr>
          <w:i/>
        </w:rPr>
        <w:t xml:space="preserve"> </w:t>
      </w:r>
      <w:r w:rsidR="00453BC9">
        <w:rPr>
          <w:i/>
        </w:rPr>
        <w:t>Arlington, Virginia.</w:t>
      </w:r>
    </w:p>
    <w:p w14:paraId="13802B00" w14:textId="77777777" w:rsidR="006C3D73" w:rsidRPr="00527CBB" w:rsidRDefault="006C3D73" w:rsidP="006C3D73">
      <w:r w:rsidRPr="00527CBB">
        <w:t xml:space="preserve">Dodge, E., </w:t>
      </w:r>
      <w:r w:rsidRPr="00527CBB">
        <w:rPr>
          <w:b/>
        </w:rPr>
        <w:t xml:space="preserve">Trott, S., </w:t>
      </w:r>
      <w:r w:rsidRPr="00527CBB">
        <w:t xml:space="preserve">Gilardi, L., &amp; Stickles, E. (2017). </w:t>
      </w:r>
      <w:r w:rsidRPr="00527CBB">
        <w:rPr>
          <w:i/>
          <w:iCs/>
        </w:rPr>
        <w:t xml:space="preserve">Grammar Scaling: Leveraging FrameNet </w:t>
      </w:r>
      <w:r w:rsidRPr="00527CBB">
        <w:rPr>
          <w:i/>
          <w:iCs/>
        </w:rPr>
        <w:tab/>
        <w:t>Data to Increase Embodied Construction Grammar Coverage</w:t>
      </w:r>
      <w:r w:rsidRPr="00527CBB">
        <w:t xml:space="preserve">. Technical report, AAAI </w:t>
      </w:r>
      <w:r w:rsidRPr="00527CBB">
        <w:tab/>
        <w:t>SS-17-02.</w:t>
      </w:r>
    </w:p>
    <w:p w14:paraId="36FE5972" w14:textId="7CB9D485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lastRenderedPageBreak/>
        <w:t>Trott, S</w:t>
      </w:r>
      <w:r w:rsidRPr="00527CBB">
        <w:t xml:space="preserve">., Eppe, M., &amp; Feldman, J. (2016). Recognizing Intention from Natural Language : Clarification Dialog and Construction Grammar. </w:t>
      </w:r>
      <w:r w:rsidRPr="00527CBB">
        <w:rPr>
          <w:i/>
          <w:iCs/>
        </w:rPr>
        <w:t>Workshop on Communicating Intentions in Human-Robot Interaction</w:t>
      </w:r>
      <w:r w:rsidRPr="00527CBB">
        <w:t>.</w:t>
      </w:r>
      <w:r w:rsidR="00453BC9">
        <w:t xml:space="preserve"> Columbia University, New York University.</w:t>
      </w:r>
    </w:p>
    <w:p w14:paraId="56BA37F7" w14:textId="77777777" w:rsidR="006C3D73" w:rsidRPr="00527CBB" w:rsidRDefault="006C3D73" w:rsidP="006C3D73">
      <w:pPr>
        <w:pStyle w:val="NormalWeb"/>
        <w:spacing w:line="276" w:lineRule="auto"/>
        <w:contextualSpacing/>
      </w:pPr>
    </w:p>
    <w:p w14:paraId="4101D87F" w14:textId="461EE567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Appriou, A., Feldman, J., &amp; Janin, A. (2015). Natural Language Understanding and Communication for Multi-Agent Systems. </w:t>
      </w:r>
      <w:r w:rsidRPr="00527CBB">
        <w:rPr>
          <w:i/>
          <w:iCs/>
        </w:rPr>
        <w:t>AAAI Fall Symposium</w:t>
      </w:r>
      <w:r w:rsidRPr="00527CBB">
        <w:t>, 137–141.</w:t>
      </w:r>
      <w:r w:rsidR="00B96749">
        <w:t xml:space="preserve"> Arlington, 2017.</w:t>
      </w:r>
    </w:p>
    <w:p w14:paraId="1B3021B6" w14:textId="77777777" w:rsidR="006C3D73" w:rsidRDefault="006C3D73" w:rsidP="00C93AB6">
      <w:pPr>
        <w:pStyle w:val="NormalWeb"/>
        <w:spacing w:line="276" w:lineRule="auto"/>
        <w:contextualSpacing/>
      </w:pPr>
    </w:p>
    <w:p w14:paraId="25E52FF6" w14:textId="77777777" w:rsidR="00EC074D" w:rsidRDefault="00EC074D" w:rsidP="00C93AB6">
      <w:pPr>
        <w:pStyle w:val="NormalWeb"/>
        <w:spacing w:line="276" w:lineRule="auto"/>
        <w:contextualSpacing/>
      </w:pPr>
    </w:p>
    <w:p w14:paraId="4E0B84A9" w14:textId="29AACF80" w:rsidR="00EC074D" w:rsidRPr="009B5B13" w:rsidRDefault="00EC074D" w:rsidP="009B5B1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49D7C54D" w14:textId="0766257D" w:rsidR="00195AA4" w:rsidRPr="00D01214" w:rsidRDefault="00195AA4" w:rsidP="00BA51F4">
      <w:pPr>
        <w:pStyle w:val="NormalWeb"/>
        <w:spacing w:line="276" w:lineRule="auto"/>
        <w:contextualSpacing/>
        <w:rPr>
          <w:bCs/>
        </w:rPr>
      </w:pPr>
      <w:r w:rsidRPr="00D02F37">
        <w:rPr>
          <w:b/>
        </w:rPr>
        <w:t>Trott, S. (2024).</w:t>
      </w:r>
      <w:r w:rsidRPr="00D02F37">
        <w:rPr>
          <w:bCs/>
        </w:rPr>
        <w:t xml:space="preserve"> </w:t>
      </w:r>
      <w:r w:rsidR="00D02F37" w:rsidRPr="00D02F37">
        <w:rPr>
          <w:bCs/>
        </w:rPr>
        <w:t xml:space="preserve">Using Large Language Models to </w:t>
      </w:r>
      <w:r w:rsidR="001A7900">
        <w:rPr>
          <w:bCs/>
        </w:rPr>
        <w:t>understand</w:t>
      </w:r>
      <w:r w:rsidR="00D02F37" w:rsidRPr="00D02F37">
        <w:rPr>
          <w:bCs/>
        </w:rPr>
        <w:t xml:space="preserve"> </w:t>
      </w:r>
      <w:r w:rsidR="001A7900">
        <w:rPr>
          <w:bCs/>
        </w:rPr>
        <w:t>human</w:t>
      </w:r>
      <w:r w:rsidR="00D02F37" w:rsidRPr="00D02F37">
        <w:rPr>
          <w:bCs/>
        </w:rPr>
        <w:t xml:space="preserve"> </w:t>
      </w:r>
      <w:r w:rsidR="001A7900">
        <w:rPr>
          <w:bCs/>
        </w:rPr>
        <w:t>cognition</w:t>
      </w:r>
      <w:r w:rsidR="00D02F37" w:rsidRPr="00D02F37">
        <w:rPr>
          <w:bCs/>
        </w:rPr>
        <w:t xml:space="preserve">. </w:t>
      </w:r>
      <w:r w:rsidR="00D02F37" w:rsidRPr="00D02F37">
        <w:rPr>
          <w:i/>
          <w:iCs/>
          <w:color w:val="222222"/>
          <w:shd w:val="clear" w:color="auto" w:fill="FFFFFF"/>
        </w:rPr>
        <w:t>Weinberg Institute for Cognitive Science, University of Michigan.</w:t>
      </w:r>
      <w:r w:rsidR="00D01214">
        <w:rPr>
          <w:color w:val="222222"/>
          <w:shd w:val="clear" w:color="auto" w:fill="FFFFFF"/>
        </w:rPr>
        <w:t xml:space="preserve"> (February, 2024).</w:t>
      </w:r>
    </w:p>
    <w:p w14:paraId="28F997C6" w14:textId="77777777" w:rsidR="00195AA4" w:rsidRPr="00195AA4" w:rsidRDefault="00195AA4" w:rsidP="00BA51F4">
      <w:pPr>
        <w:pStyle w:val="NormalWeb"/>
        <w:spacing w:line="276" w:lineRule="auto"/>
        <w:contextualSpacing/>
        <w:rPr>
          <w:bCs/>
        </w:rPr>
      </w:pPr>
    </w:p>
    <w:p w14:paraId="4C26615B" w14:textId="3ED3D10A" w:rsidR="00BA51F4" w:rsidRPr="00BA51F4" w:rsidRDefault="00BA51F4" w:rsidP="00BA51F4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Word meaning is categorical and continuous. </w:t>
      </w:r>
      <w:r>
        <w:rPr>
          <w:bCs/>
          <w:i/>
          <w:iCs/>
        </w:rPr>
        <w:t>Department of Cognitive Science, UC San Diego</w:t>
      </w:r>
      <w:r>
        <w:rPr>
          <w:bCs/>
        </w:rPr>
        <w:t xml:space="preserve"> (</w:t>
      </w:r>
      <w:r w:rsidR="00D01214">
        <w:rPr>
          <w:bCs/>
        </w:rPr>
        <w:t>April</w:t>
      </w:r>
      <w:r w:rsidR="0034328F">
        <w:rPr>
          <w:bCs/>
        </w:rPr>
        <w:t>, 2023</w:t>
      </w:r>
      <w:r w:rsidR="00D01214">
        <w:rPr>
          <w:bCs/>
        </w:rPr>
        <w:t>).</w:t>
      </w:r>
    </w:p>
    <w:p w14:paraId="24A8628D" w14:textId="77777777" w:rsidR="00BA51F4" w:rsidRDefault="00BA51F4" w:rsidP="00EC074D">
      <w:pPr>
        <w:pStyle w:val="NormalWeb"/>
        <w:spacing w:line="276" w:lineRule="auto"/>
        <w:contextualSpacing/>
        <w:rPr>
          <w:b/>
        </w:rPr>
      </w:pPr>
    </w:p>
    <w:p w14:paraId="2AED24C2" w14:textId="414571E6" w:rsidR="00EC074D" w:rsidRDefault="00EC074D" w:rsidP="00EC074D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</w:t>
      </w:r>
      <w:r w:rsidR="001613BA">
        <w:rPr>
          <w:bCs/>
        </w:rPr>
        <w:t xml:space="preserve">Using Large Language Models to understand human </w:t>
      </w:r>
      <w:r w:rsidR="00E51416">
        <w:rPr>
          <w:bCs/>
        </w:rPr>
        <w:t>cognition</w:t>
      </w:r>
      <w:r w:rsidR="001613BA">
        <w:rPr>
          <w:bCs/>
        </w:rPr>
        <w:t xml:space="preserve">. </w:t>
      </w:r>
      <w:r w:rsidR="001613BA">
        <w:rPr>
          <w:bCs/>
          <w:i/>
          <w:iCs/>
        </w:rPr>
        <w:t>Cogs 1, Winter 2023</w:t>
      </w:r>
      <w:r w:rsidR="001613BA">
        <w:rPr>
          <w:bCs/>
        </w:rPr>
        <w:t>.</w:t>
      </w:r>
      <w:r w:rsidR="0034328F">
        <w:rPr>
          <w:bCs/>
        </w:rPr>
        <w:t xml:space="preserve"> (February, 2023).</w:t>
      </w:r>
    </w:p>
    <w:p w14:paraId="60F37BF2" w14:textId="77777777" w:rsidR="00EC074D" w:rsidRDefault="00EC074D" w:rsidP="00C93AB6">
      <w:pPr>
        <w:pStyle w:val="NormalWeb"/>
        <w:spacing w:line="276" w:lineRule="auto"/>
        <w:contextualSpacing/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740F15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7575E9BD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69A63137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lastRenderedPageBreak/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740F15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74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F31C" w14:textId="77777777" w:rsidR="00740F15" w:rsidRDefault="00740F15" w:rsidP="005B2306">
      <w:r>
        <w:separator/>
      </w:r>
    </w:p>
  </w:endnote>
  <w:endnote w:type="continuationSeparator" w:id="0">
    <w:p w14:paraId="0E299E76" w14:textId="77777777" w:rsidR="00740F15" w:rsidRDefault="00740F15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D9C5" w14:textId="77777777" w:rsidR="00740F15" w:rsidRDefault="00740F15" w:rsidP="005B2306">
      <w:r>
        <w:separator/>
      </w:r>
    </w:p>
  </w:footnote>
  <w:footnote w:type="continuationSeparator" w:id="0">
    <w:p w14:paraId="4F4DABE6" w14:textId="77777777" w:rsidR="00740F15" w:rsidRDefault="00740F15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6607"/>
    <w:rsid w:val="00027B49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1348F"/>
    <w:rsid w:val="00125FEF"/>
    <w:rsid w:val="0013373D"/>
    <w:rsid w:val="001360CE"/>
    <w:rsid w:val="00146E57"/>
    <w:rsid w:val="001542B3"/>
    <w:rsid w:val="001613BA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524C"/>
    <w:rsid w:val="00326D07"/>
    <w:rsid w:val="00336641"/>
    <w:rsid w:val="00337E0E"/>
    <w:rsid w:val="00342C89"/>
    <w:rsid w:val="0034328F"/>
    <w:rsid w:val="00360811"/>
    <w:rsid w:val="003612FE"/>
    <w:rsid w:val="00367796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B393B"/>
    <w:rsid w:val="003C128B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CBB"/>
    <w:rsid w:val="00534EF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E5859"/>
    <w:rsid w:val="005F6E4E"/>
    <w:rsid w:val="0060268A"/>
    <w:rsid w:val="00605C7D"/>
    <w:rsid w:val="00605C9B"/>
    <w:rsid w:val="00611017"/>
    <w:rsid w:val="00620025"/>
    <w:rsid w:val="00621DB5"/>
    <w:rsid w:val="006373E4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6347"/>
    <w:rsid w:val="006B358E"/>
    <w:rsid w:val="006B6B4D"/>
    <w:rsid w:val="006C0A57"/>
    <w:rsid w:val="006C3D73"/>
    <w:rsid w:val="006F06D1"/>
    <w:rsid w:val="006F4EB0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0F15"/>
    <w:rsid w:val="00742617"/>
    <w:rsid w:val="007534DF"/>
    <w:rsid w:val="00753BC5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38B0"/>
    <w:rsid w:val="00855E55"/>
    <w:rsid w:val="0085627D"/>
    <w:rsid w:val="00860C04"/>
    <w:rsid w:val="00883F5B"/>
    <w:rsid w:val="00885580"/>
    <w:rsid w:val="00894BA8"/>
    <w:rsid w:val="008A0C04"/>
    <w:rsid w:val="008A377C"/>
    <w:rsid w:val="008A54AE"/>
    <w:rsid w:val="008A5C76"/>
    <w:rsid w:val="008A646A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6635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F1F"/>
    <w:rsid w:val="00A23820"/>
    <w:rsid w:val="00A34F48"/>
    <w:rsid w:val="00A41C22"/>
    <w:rsid w:val="00A556DB"/>
    <w:rsid w:val="00A558A0"/>
    <w:rsid w:val="00A57BE0"/>
    <w:rsid w:val="00A60AB9"/>
    <w:rsid w:val="00A621E8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670F9"/>
    <w:rsid w:val="00C70F11"/>
    <w:rsid w:val="00C714FB"/>
    <w:rsid w:val="00C72675"/>
    <w:rsid w:val="00C77389"/>
    <w:rsid w:val="00C77D89"/>
    <w:rsid w:val="00C865F4"/>
    <w:rsid w:val="00C93AB6"/>
    <w:rsid w:val="00C977E7"/>
    <w:rsid w:val="00C979BA"/>
    <w:rsid w:val="00CA270B"/>
    <w:rsid w:val="00CA3810"/>
    <w:rsid w:val="00CB64C4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5FCD"/>
    <w:rsid w:val="00E1621D"/>
    <w:rsid w:val="00E3051A"/>
    <w:rsid w:val="00E3505F"/>
    <w:rsid w:val="00E419CA"/>
    <w:rsid w:val="00E4216A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70</cp:revision>
  <cp:lastPrinted>2023-09-27T17:16:00Z</cp:lastPrinted>
  <dcterms:created xsi:type="dcterms:W3CDTF">2023-09-27T17:16:00Z</dcterms:created>
  <dcterms:modified xsi:type="dcterms:W3CDTF">2024-01-26T22:50:00Z</dcterms:modified>
</cp:coreProperties>
</file>