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The Engineering Tool Chest</w:t>
      </w:r>
    </w:p>
    <w:p>
      <w:pPr>
        <w:spacing w:after="60" w:before="0"/>
      </w:pPr>
      <w:r>
        <w:rPr>
          <w:rFonts w:ascii="Arial" w:cs="Arial" w:eastAsia="Arial" w:hAnsi="Arial"/>
          <w:i/>
          <w:iCs/>
          <w:color w:val="2E5FA3"/>
          <w:sz w:val="28"/>
          <w:szCs w:val="28"/>
        </w:rPr>
        <w:t xml:space="preserve">A Proposal for a Henderson Calculator Library</w:t>
      </w:r>
    </w:p>
    <w:p>
      <w:pPr>
        <w:spacing w:after="200" w:before="0"/>
      </w:pPr>
      <w:r>
        <w:rPr>
          <w:rFonts w:ascii="Arial" w:cs="Arial" w:eastAsia="Arial" w:hAnsi="Arial"/>
          <w:color w:val="888888"/>
          <w:sz w:val="22"/>
          <w:szCs w:val="22"/>
        </w:rPr>
        <w:t xml:space="preserve">April 2026</w:t>
      </w:r>
    </w:p>
    <w:p>
      <w:pPr>
        <w:pBdr>
          <w:bottom w:val="single" w:color="CCCCCC" w:sz="4" w:space="1"/>
        </w:pBdr>
        <w:spacing w:after="160" w:before="160"/>
      </w:pPr>
      <w:r>
        <w:t xml:space="preserve"/>
      </w:r>
    </w:p>
    <w:p>
      <w:pPr>
        <w:pStyle w:val="Heading1"/>
        <w:spacing w:after="140" w:before="200"/>
      </w:pPr>
      <w:r>
        <w:rPr>
          <w:rFonts w:ascii="Arial" w:cs="Arial" w:eastAsia="Arial" w:hAnsi="Arial"/>
          <w:b/>
          <w:bCs/>
          <w:color w:val="1F3864"/>
          <w:sz w:val="32"/>
          <w:szCs w:val="32"/>
        </w:rPr>
        <w:t xml:space="preserve">Overview</w:t>
      </w:r>
    </w:p>
    <w:p>
      <w:pPr>
        <w:spacing w:after="100" w:before="100"/>
      </w:pPr>
      <w:r>
        <w:rPr>
          <w:rFonts w:ascii="Arial" w:cs="Arial" w:eastAsia="Arial" w:hAnsi="Arial"/>
          <w:sz w:val="24"/>
          <w:szCs w:val="24"/>
        </w:rPr>
        <w:t xml:space="preserve">The Engineering Tool Chest is a library of Henderson's engineering calculators -- standalone, single-session web apps accessible to design engineers through Strata. Unlike Strata's project-connected workflows, Tool Chest apps are stateless: no session persistence, no project attachment. Engineers interact with them the way they'd use any modern web-based calculator.</w:t>
      </w:r>
    </w:p>
    <w:p>
      <w:pPr>
        <w:spacing w:after="80" w:before="80"/>
      </w:pPr>
      <w:r>
        <w:t xml:space="preserve"/>
      </w:r>
    </w:p>
    <w:p>
      <w:pPr>
        <w:pStyle w:val="Heading1"/>
        <w:spacing w:after="140" w:before="200"/>
      </w:pPr>
      <w:r>
        <w:rPr>
          <w:rFonts w:ascii="Arial" w:cs="Arial" w:eastAsia="Arial" w:hAnsi="Arial"/>
          <w:b/>
          <w:bCs/>
          <w:color w:val="1F3864"/>
          <w:sz w:val="32"/>
          <w:szCs w:val="32"/>
        </w:rPr>
        <w:t xml:space="preserve">Why This Matters</w:t>
      </w:r>
    </w:p>
    <w:p>
      <w:pPr>
        <w:pStyle w:val="Heading2"/>
        <w:spacing w:after="100" w:before="180"/>
      </w:pPr>
      <w:r>
        <w:rPr>
          <w:rFonts w:ascii="Arial" w:cs="Arial" w:eastAsia="Arial" w:hAnsi="Arial"/>
          <w:b/>
          <w:bCs/>
          <w:color w:val="2E5FA3"/>
          <w:sz w:val="26"/>
          <w:szCs w:val="26"/>
        </w:rPr>
        <w:t xml:space="preserve">It's the API layer Strata will eventually call.</w:t>
      </w:r>
    </w:p>
    <w:p>
      <w:pPr>
        <w:spacing w:after="100" w:before="100"/>
      </w:pPr>
      <w:r>
        <w:rPr>
          <w:rFonts w:ascii="Arial" w:cs="Arial" w:eastAsia="Arial" w:hAnsi="Arial"/>
          <w:sz w:val="24"/>
          <w:szCs w:val="24"/>
        </w:rPr>
        <w:t xml:space="preserve">Building these as true coded applications rather than spreadsheets means each calculator is already structured to function as an endpoint. As Strata's design workflows mature, it can call these tools directly rather than rebuild the logic from scratch.</w:t>
      </w:r>
    </w:p>
    <w:p>
      <w:pPr>
        <w:spacing w:after="80" w:before="80"/>
      </w:pPr>
      <w:r>
        <w:t xml:space="preserve"/>
      </w:r>
    </w:p>
    <w:p>
      <w:pPr>
        <w:pStyle w:val="Heading2"/>
        <w:spacing w:after="100" w:before="180"/>
      </w:pPr>
      <w:r>
        <w:rPr>
          <w:rFonts w:ascii="Arial" w:cs="Arial" w:eastAsia="Arial" w:hAnsi="Arial"/>
          <w:b/>
          <w:bCs/>
          <w:color w:val="2E5FA3"/>
          <w:sz w:val="26"/>
          <w:szCs w:val="26"/>
        </w:rPr>
        <w:t xml:space="preserve">It graduates proven tools into the right medium.</w:t>
      </w:r>
    </w:p>
    <w:p>
      <w:pPr>
        <w:spacing w:after="100" w:before="100"/>
      </w:pPr>
      <w:r>
        <w:rPr>
          <w:rFonts w:ascii="Arial" w:cs="Arial" w:eastAsia="Arial" w:hAnsi="Arial"/>
          <w:sz w:val="24"/>
          <w:szCs w:val="24"/>
        </w:rPr>
        <w:t xml:space="preserve">Henderson's calculator library is technically verified, versioned, and actively maintained -- the engineering rigor is already there. The gap is platform: Excel conflates the input interface, the calculation engine, and the output structure into a single artifact it was never designed to host. The Tool Chest separates those layers, gives each calculator a purpose-built UI, and makes the underlying logic portable and callable by Strata as design workflows mature.</w:t>
      </w:r>
    </w:p>
    <w:p>
      <w:pPr>
        <w:spacing w:after="80" w:before="80"/>
      </w:pPr>
      <w:r>
        <w:t xml:space="preserve"/>
      </w:r>
    </w:p>
    <w:p>
      <w:pPr>
        <w:pStyle w:val="Heading2"/>
        <w:spacing w:after="100" w:before="180"/>
      </w:pPr>
      <w:r>
        <w:rPr>
          <w:rFonts w:ascii="Arial" w:cs="Arial" w:eastAsia="Arial" w:hAnsi="Arial"/>
          <w:b/>
          <w:bCs/>
          <w:color w:val="2E5FA3"/>
          <w:sz w:val="26"/>
          <w:szCs w:val="26"/>
        </w:rPr>
        <w:t xml:space="preserve">It's a low-risk, high-visibility win.</w:t>
      </w:r>
    </w:p>
    <w:p>
      <w:pPr>
        <w:spacing w:after="100" w:before="100"/>
      </w:pPr>
      <w:r>
        <w:rPr>
          <w:rFonts w:ascii="Arial" w:cs="Arial" w:eastAsia="Arial" w:hAnsi="Arial"/>
          <w:sz w:val="24"/>
          <w:szCs w:val="24"/>
        </w:rPr>
        <w:t xml:space="preserve">No data persistence means no project risk, no compliance complexity. Each tool ships independently. Value is visible immediately.</w:t>
      </w:r>
    </w:p>
    <w:p>
      <w:pPr>
        <w:spacing w:after="80" w:before="80"/>
      </w:pPr>
      <w:r>
        <w:t xml:space="preserve"/>
      </w:r>
    </w:p>
    <w:p>
      <w:pPr>
        <w:pStyle w:val="Heading1"/>
        <w:spacing w:after="140" w:before="200"/>
      </w:pPr>
      <w:r>
        <w:rPr>
          <w:rFonts w:ascii="Arial" w:cs="Arial" w:eastAsia="Arial" w:hAnsi="Arial"/>
          <w:b/>
          <w:bCs/>
          <w:color w:val="1F3864"/>
          <w:sz w:val="32"/>
          <w:szCs w:val="32"/>
        </w:rPr>
        <w:t xml:space="preserve">Why Now</w:t>
      </w:r>
    </w:p>
    <w:p>
      <w:pPr>
        <w:spacing w:after="100" w:before="100"/>
      </w:pPr>
      <w:r>
        <w:rPr>
          <w:rFonts w:ascii="Arial" w:cs="Arial" w:eastAsia="Arial" w:hAnsi="Arial"/>
          <w:sz w:val="24"/>
          <w:szCs w:val="24"/>
        </w:rPr>
        <w:t xml:space="preserve">AI-augmented development has fundamentally changed what a small, skilled team can ship. Building consistent, well-designed apps previously required a dedicated software engineering team -- the design, logic, and development work couldn't reasonably be collapsed into fewer hands. That's no longer true.</w:t>
      </w:r>
    </w:p>
    <w:p>
      <w:pPr>
        <w:spacing w:after="80" w:before="80"/>
      </w:pPr>
      <w:r>
        <w:t xml:space="preserve"/>
      </w:r>
    </w:p>
    <w:p>
      <w:pPr>
        <w:spacing w:after="100" w:before="100"/>
      </w:pPr>
      <w:r>
        <w:rPr>
          <w:rFonts w:ascii="Arial" w:cs="Arial" w:eastAsia="Arial" w:hAnsi="Arial"/>
          <w:sz w:val="24"/>
          <w:szCs w:val="24"/>
        </w:rPr>
        <w:t xml:space="preserve">A product designer fluent in AI-assisted development paired with an engineer who has 18 years of domain expertise can now compress what used to be a multi-person, multi-sprint effort into a rapid, repeatable build cycle. The domain knowledge that makes these calculators trustworthy has always existed here. What's new is the ability to deliver it in a modern, purpose-built format without the overhead that previously made that impractical.</w:t>
      </w:r>
    </w:p>
    <w:p>
      <w:pPr>
        <w:spacing w:after="80" w:before="80"/>
      </w:pPr>
      <w:r>
        <w:t xml:space="preserve"/>
      </w:r>
    </w:p>
    <w:p>
      <w:pPr>
        <w:spacing w:after="100" w:before="100"/>
      </w:pPr>
      <w:r>
        <w:rPr>
          <w:rFonts w:ascii="Arial" w:cs="Arial" w:eastAsia="Arial" w:hAnsi="Arial"/>
          <w:sz w:val="24"/>
          <w:szCs w:val="24"/>
        </w:rPr>
        <w:t xml:space="preserve">The Tool Chest is a direct product of that shift -- and the window to move quickly on it is open now.</w:t>
      </w:r>
    </w:p>
    <w:p>
      <w:pPr>
        <w:spacing w:after="80" w:before="80"/>
      </w:pPr>
      <w:r>
        <w:t xml:space="preserve"/>
      </w:r>
    </w:p>
    <w:p>
      <w:pPr>
        <w:pStyle w:val="Heading1"/>
        <w:spacing w:after="140" w:before="200"/>
      </w:pPr>
      <w:r>
        <w:rPr>
          <w:rFonts w:ascii="Arial" w:cs="Arial" w:eastAsia="Arial" w:hAnsi="Arial"/>
          <w:b/>
          <w:bCs/>
          <w:color w:val="1F3864"/>
          <w:sz w:val="32"/>
          <w:szCs w:val="32"/>
        </w:rPr>
        <w:t xml:space="preserve">Release Standard</w:t>
      </w:r>
    </w:p>
    <w:p>
      <w:pPr>
        <w:spacing w:after="100" w:before="100"/>
      </w:pPr>
      <w:r>
        <w:rPr>
          <w:rFonts w:ascii="Arial" w:cs="Arial" w:eastAsia="Arial" w:hAnsi="Arial"/>
          <w:sz w:val="24"/>
          <w:szCs w:val="24"/>
        </w:rPr>
        <w:t xml:space="preserve">A calculator is considered released when it has cleared both of the following gates:</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Technical review and sign-off by the relevant Discipline Engineering Director</w:t>
      </w:r>
    </w:p>
    <w:p>
      <w:pPr>
        <w:pStyle w:val="ListParagraph"/>
        <w:numPr>
          <w:ilvl w:val="0"/>
          <w:numId w:val="2"/>
        </w:numPr>
        <w:spacing w:after="60" w:before="60"/>
      </w:pPr>
      <w:r>
        <w:rPr>
          <w:rFonts w:ascii="Arial" w:cs="Arial" w:eastAsia="Arial" w:hAnsi="Arial"/>
          <w:sz w:val="24"/>
          <w:szCs w:val="24"/>
        </w:rPr>
        <w:t xml:space="preserve">Deployment approval by a Lead or Staff Software Engineer on the Strata team</w:t>
      </w:r>
    </w:p>
    <w:p>
      <w:pPr>
        <w:spacing w:after="80" w:before="80"/>
      </w:pPr>
      <w:r>
        <w:t xml:space="preserve"/>
      </w:r>
    </w:p>
    <w:p>
      <w:pPr>
        <w:spacing w:after="100" w:before="100"/>
      </w:pPr>
      <w:r>
        <w:rPr>
          <w:rFonts w:ascii="Arial" w:cs="Arial" w:eastAsia="Arial" w:hAnsi="Arial"/>
          <w:sz w:val="24"/>
          <w:szCs w:val="24"/>
        </w:rPr>
        <w:t xml:space="preserve">Both gates must be cleared before a tool counts toward any milestone. This keeps the bar clear, external to the build team, and consistent across the library.</w:t>
      </w:r>
    </w:p>
    <w:p>
      <w:pPr>
        <w:spacing w:after="80" w:before="80"/>
      </w:pPr>
      <w:r>
        <w:t xml:space="preserve"/>
      </w:r>
    </w:p>
    <w:p>
      <w:r>
        <w:br w:type="page"/>
      </w:r>
    </w:p>
    <w:p>
      <w:pPr>
        <w:spacing w:after="80" w:before="0"/>
      </w:pPr>
      <w:r>
        <w:rPr>
          <w:rFonts w:ascii="Arial" w:cs="Arial" w:eastAsia="Arial" w:hAnsi="Arial"/>
          <w:b/>
          <w:bCs/>
          <w:color w:val="1F3864"/>
          <w:sz w:val="40"/>
          <w:szCs w:val="40"/>
        </w:rPr>
        <w:t xml:space="preserve">Appendix: Compensation Structure</w:t>
      </w:r>
    </w:p>
    <w:p>
      <w:pPr>
        <w:spacing w:after="200" w:before="0"/>
      </w:pPr>
      <w:r>
        <w:rPr>
          <w:rFonts w:ascii="Arial" w:cs="Arial" w:eastAsia="Arial" w:hAnsi="Arial"/>
          <w:i/>
          <w:iCs/>
          <w:color w:val="888888"/>
          <w:sz w:val="24"/>
          <w:szCs w:val="24"/>
        </w:rPr>
        <w:t xml:space="preserve">Proposed incentive agreement for the Engineering Tool Chest build team</w:t>
      </w:r>
    </w:p>
    <w:p>
      <w:pPr>
        <w:pBdr>
          <w:bottom w:val="single" w:color="CCCCCC" w:sz="4" w:space="1"/>
        </w:pBdr>
        <w:spacing w:after="160" w:before="160"/>
      </w:pPr>
      <w:r>
        <w:t xml:space="preserve"/>
      </w:r>
    </w:p>
    <w:p>
      <w:pPr>
        <w:pStyle w:val="Heading2"/>
        <w:spacing w:after="100" w:before="180"/>
      </w:pPr>
      <w:r>
        <w:rPr>
          <w:rFonts w:ascii="Arial" w:cs="Arial" w:eastAsia="Arial" w:hAnsi="Arial"/>
          <w:b/>
          <w:bCs/>
          <w:color w:val="2E5FA3"/>
          <w:sz w:val="26"/>
          <w:szCs w:val="26"/>
        </w:rPr>
        <w:t xml:space="preserve">Structure</w:t>
      </w:r>
    </w:p>
    <w:p>
      <w:pPr>
        <w:spacing w:after="100" w:before="100"/>
      </w:pPr>
      <w:r>
        <w:rPr>
          <w:rFonts w:ascii="Arial" w:cs="Arial" w:eastAsia="Arial" w:hAnsi="Arial"/>
          <w:sz w:val="24"/>
          <w:szCs w:val="24"/>
        </w:rPr>
        <w:t xml:space="preserve">Compensation is paid in two components: a per-tool bonus paid at release, and milestone bonuses paid when cumulative release totals are reached. The library is estimated at approximately 180 calculators. Milestones are additive -- each is paid once when the threshold is crossed.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Milestone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Per Person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Total (2 people)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Cumulative (per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Per calculator released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iCs/>
                <w:sz w:val="22"/>
                <w:szCs w:val="22"/>
              </w:rPr>
              <w:t xml:space="preserve">$500 x tools released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10 calculators released</w:t>
            </w:r>
          </w:p>
        </w:tc>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$2,500</w:t>
            </w:r>
          </w:p>
        </w:tc>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$5,000</w:t>
            </w:r>
          </w:p>
        </w:tc>
        <w:tc>
          <w:tcPr>
            <w:tcW w:type="dxa" w:w="2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$7,500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25 calculators released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$2,500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$5,000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$15,000</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50 calculators released</w:t>
            </w:r>
          </w:p>
        </w:tc>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$5,000</w:t>
            </w:r>
          </w:p>
        </w:tc>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$10,000</w:t>
            </w:r>
          </w:p>
        </w:tc>
        <w:tc>
          <w:tcPr>
            <w:tcW w:type="dxa" w:w="2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$27,500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2"/>
                <w:szCs w:val="22"/>
              </w:rPr>
              <w:t xml:space="preserve">180 calculators released (full 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$20,000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2"/>
                <w:szCs w:val="22"/>
              </w:rPr>
              <w:t xml:space="preserve">$45,000 + per-tool total</w:t>
            </w:r>
          </w:p>
        </w:tc>
      </w:tr>
    </w:tbl>
    <w:p>
      <w:pPr>
        <w:spacing w:after="80" w:before="80"/>
      </w:pPr>
      <w:r>
        <w:t xml:space="preserve"/>
      </w:r>
    </w:p>
    <w:p>
      <w:pPr>
        <w:spacing w:after="80" w:before="80"/>
      </w:pPr>
      <w:r>
        <w:t xml:space="preserve"/>
      </w:r>
    </w:p>
    <w:p>
      <w:pPr>
        <w:pStyle w:val="Heading2"/>
        <w:spacing w:after="100" w:before="200"/>
      </w:pPr>
      <w:r>
        <w:rPr>
          <w:rFonts w:ascii="Arial" w:cs="Arial" w:eastAsia="Arial" w:hAnsi="Arial"/>
          <w:b/>
          <w:bCs/>
          <w:color w:val="2E5FA3"/>
          <w:sz w:val="26"/>
          <w:szCs w:val="26"/>
        </w:rPr>
        <w:t xml:space="preserve">Full Library Summary</w:t>
      </w:r>
    </w:p>
    <w:p>
      <w:pPr>
        <w:spacing w:after="100" w:before="100"/>
      </w:pPr>
      <w:r>
        <w:rPr>
          <w:rFonts w:ascii="Arial" w:cs="Arial" w:eastAsia="Arial" w:hAnsi="Arial"/>
          <w:sz w:val="24"/>
          <w:szCs w:val="24"/>
        </w:rPr>
        <w:t xml:space="preserve">If the full library of 180 calculators is completed and all milestones are reached: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Per-tool comp (180 tools x $500)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$90,000</w:t>
            </w:r>
          </w:p>
        </w:tc>
      </w:tr>
      <w:tr>
        <w:tc>
          <w:tcPr>
            <w:tcW w:type="dxa" w:w="5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val="false"/>
                <w:bCs w:val="false"/>
                <w:color w:val="000000"/>
                <w:sz w:val="22"/>
                <w:szCs w:val="22"/>
              </w:rPr>
              <w:t xml:space="preserve">Milestone bonuses (all achieved)</w:t>
            </w:r>
          </w:p>
        </w:tc>
        <w:tc>
          <w:tcPr>
            <w:tcW w:type="dxa" w:w="37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$40,000</w:t>
            </w:r>
          </w:p>
        </w:tc>
      </w:tr>
      <w:tr>
        <w:tc>
          <w:tcPr>
            <w:tcW w:type="dxa" w:w="5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Total per person (full library)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$65,000</w:t>
            </w:r>
          </w:p>
        </w:tc>
      </w:tr>
      <w:tr>
        <w:tc>
          <w:tcPr>
            <w:tcW w:type="dxa" w:w="5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Total firm cost (full library)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$130,000</w:t>
            </w:r>
          </w:p>
        </w:tc>
      </w:tr>
    </w:tbl>
    <w:p>
      <w:pPr>
        <w:spacing w:after="80" w:before="80"/>
      </w:pPr>
      <w:r>
        <w:t xml:space="preserve"/>
      </w:r>
    </w:p>
    <w:p>
      <w:pPr>
        <w:spacing w:after="80" w:before="80"/>
      </w:pPr>
      <w:r>
        <w:t xml:space="preserve"/>
      </w:r>
    </w:p>
    <w:p>
      <w:pPr>
        <w:pStyle w:val="Heading2"/>
        <w:spacing w:after="100" w:before="200"/>
      </w:pPr>
      <w:r>
        <w:rPr>
          <w:rFonts w:ascii="Arial" w:cs="Arial" w:eastAsia="Arial" w:hAnsi="Arial"/>
          <w:b/>
          <w:bCs/>
          <w:color w:val="2E5FA3"/>
          <w:sz w:val="26"/>
          <w:szCs w:val="26"/>
        </w:rPr>
        <w:t xml:space="preserve">Notes</w:t>
      </w:r>
    </w:p>
    <w:p>
      <w:pPr>
        <w:pStyle w:val="ListParagraph"/>
        <w:numPr>
          <w:ilvl w:val="0"/>
          <w:numId w:val="2"/>
        </w:numPr>
        <w:spacing w:after="60" w:before="60"/>
      </w:pPr>
      <w:r>
        <w:rPr>
          <w:rFonts w:ascii="Arial" w:cs="Arial" w:eastAsia="Arial" w:hAnsi="Arial"/>
          <w:sz w:val="24"/>
          <w:szCs w:val="24"/>
        </w:rPr>
        <w:t xml:space="preserve">This work is additive to existing Strata platform commitments. Strata goals remain the primary obligation.</w:t>
      </w:r>
    </w:p>
    <w:p>
      <w:pPr>
        <w:pStyle w:val="ListParagraph"/>
        <w:numPr>
          <w:ilvl w:val="0"/>
          <w:numId w:val="2"/>
        </w:numPr>
        <w:spacing w:after="60" w:before="60"/>
      </w:pPr>
      <w:r>
        <w:rPr>
          <w:rFonts w:ascii="Arial" w:cs="Arial" w:eastAsia="Arial" w:hAnsi="Arial"/>
          <w:sz w:val="24"/>
          <w:szCs w:val="24"/>
        </w:rPr>
        <w:t xml:space="preserve">Per-tool bonuses are paid upon release, not upon completion of a build. The release gate is the trigger.</w:t>
      </w:r>
    </w:p>
    <w:p>
      <w:pPr>
        <w:pStyle w:val="ListParagraph"/>
        <w:numPr>
          <w:ilvl w:val="0"/>
          <w:numId w:val="2"/>
        </w:numPr>
        <w:spacing w:after="60" w:before="60"/>
      </w:pPr>
      <w:r>
        <w:rPr>
          <w:rFonts w:ascii="Arial" w:cs="Arial" w:eastAsia="Arial" w:hAnsi="Arial"/>
          <w:sz w:val="24"/>
          <w:szCs w:val="24"/>
        </w:rPr>
        <w:t xml:space="preserve">Milestone bonuses are paid once per threshold. Reaching 25 tools pays the 25-tool bonus; it does not re-pay the 10-tool bonus.</w:t>
      </w:r>
    </w:p>
    <w:p>
      <w:pPr>
        <w:pStyle w:val="ListParagraph"/>
        <w:numPr>
          <w:ilvl w:val="0"/>
          <w:numId w:val="2"/>
        </w:numPr>
        <w:spacing w:after="60" w:before="60"/>
      </w:pPr>
      <w:r>
        <w:rPr>
          <w:rFonts w:ascii="Arial" w:cs="Arial" w:eastAsia="Arial" w:hAnsi="Arial"/>
          <w:sz w:val="24"/>
          <w:szCs w:val="24"/>
        </w:rPr>
        <w:t xml:space="preserve">The estimated timeline at one calculator per week is approximately 3.5 years for the full library.</w:t>
      </w:r>
    </w:p>
    <w:p>
      <w:pPr>
        <w:pStyle w:val="ListParagraph"/>
        <w:numPr>
          <w:ilvl w:val="0"/>
          <w:numId w:val="2"/>
        </w:numPr>
        <w:spacing w:after="60" w:before="60"/>
      </w:pPr>
      <w:r>
        <w:rPr>
          <w:rFonts w:ascii="Arial" w:cs="Arial" w:eastAsia="Arial" w:hAnsi="Arial"/>
          <w:sz w:val="24"/>
          <w:szCs w:val="24"/>
        </w:rPr>
        <w:t xml:space="preserve">This is a gentleman's agreement between the parties named. It is not a formal employment contract amendment.</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0BF2B64F157D4887D58E229622CC92" ma:contentTypeVersion="11" ma:contentTypeDescription="Create a new document." ma:contentTypeScope="" ma:versionID="84951c827cedd46ba0b127dd3a4d4902">
  <xsd:schema xmlns:xsd="http://www.w3.org/2001/XMLSchema" xmlns:xs="http://www.w3.org/2001/XMLSchema" xmlns:p="http://schemas.microsoft.com/office/2006/metadata/properties" xmlns:ns2="c9579d1c-990a-4676-b3b6-555839cfdcde" targetNamespace="http://schemas.microsoft.com/office/2006/metadata/properties" ma:root="true" ma:fieldsID="dc0b945a69102c04ab0a05a5873f5cc1" ns2:_="">
    <xsd:import namespace="c9579d1c-990a-4676-b3b6-555839cfd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79d1c-990a-4676-b3b6-555839cfdc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9fa0900-0624-44c0-a8e8-1ed0b981f9c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579d1c-990a-4676-b3b6-555839cfdc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7F9918-7B8A-4904-B76E-55F04E2E73BC}"/>
</file>

<file path=customXml/itemProps2.xml><?xml version="1.0" encoding="utf-8"?>
<ds:datastoreItem xmlns:ds="http://schemas.openxmlformats.org/officeDocument/2006/customXml" ds:itemID="{8F0EEA62-064F-429B-893B-35B212CB21F6}"/>
</file>

<file path=customXml/itemProps3.xml><?xml version="1.0" encoding="utf-8"?>
<ds:datastoreItem xmlns:ds="http://schemas.openxmlformats.org/officeDocument/2006/customXml" ds:itemID="{72F1F30D-9BD6-4203-B046-52C7A5DFF02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2026-04-03T03:04:56Z</dcterms:created>
  <dcterms:modified xsi:type="dcterms:W3CDTF">2026-04-03T03:04:56Z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0x010100510BF2B64F157D4887D58E229622CC92</vt:lpwstr>
  </property>
</Properties>
</file>