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The Engineering Tool Chest</w:t>
      </w:r>
    </w:p>
    <w:p>
      <w:pPr>
        <w:spacing w:after="60" w:before="0"/>
      </w:pPr>
      <w:r>
        <w:rPr>
          <w:rFonts w:ascii="Arial" w:cs="Arial" w:eastAsia="Arial" w:hAnsi="Arial"/>
          <w:i/>
          <w:iCs/>
          <w:color w:val="2E5FA3"/>
          <w:sz w:val="28"/>
          <w:szCs w:val="28"/>
        </w:rPr>
        <w:t xml:space="preserve">A Proposal for a Henderson Calculator Library</w:t>
      </w:r>
    </w:p>
    <w:p>
      <w:pPr>
        <w:spacing w:after="60" w:before="0"/>
      </w:pPr>
      <w:r>
        <w:rPr>
          <w:rFonts w:ascii="Arial" w:cs="Arial" w:eastAsia="Arial" w:hAnsi="Arial"/>
          <w:color w:val="888888"/>
          <w:sz w:val="22"/>
          <w:szCs w:val="22"/>
        </w:rPr>
        <w:t xml:space="preserve">18-Month Delivery Target -- April 2026</w:t>
      </w:r>
    </w:p>
    <w:p>
      <w:pPr>
        <w:pBdr>
          <w:bottom w:val="single" w:color="CCCCCC" w:sz="4" w:space="1"/>
        </w:pBdr>
        <w:spacing w:after="160" w:before="160"/>
      </w:pPr>
      <w:r>
        <w:t xml:space="preserve"/>
      </w:r>
    </w:p>
    <w:p>
      <w:pPr>
        <w:pStyle w:val="Heading1"/>
        <w:spacing w:after="140" w:before="280"/>
      </w:pPr>
      <w:r>
        <w:rPr>
          <w:rFonts w:ascii="Arial" w:cs="Arial" w:eastAsia="Arial" w:hAnsi="Arial"/>
          <w:b/>
          <w:bCs/>
          <w:color w:val="1F3864"/>
          <w:sz w:val="32"/>
          <w:szCs w:val="32"/>
        </w:rPr>
        <w:t xml:space="preserve">Overview</w:t>
      </w:r>
    </w:p>
    <w:p>
      <w:pPr>
        <w:spacing w:after="100" w:before="100"/>
      </w:pPr>
      <w:r>
        <w:rPr>
          <w:rFonts w:ascii="Arial" w:cs="Arial" w:eastAsia="Arial" w:hAnsi="Arial"/>
          <w:sz w:val="24"/>
          <w:szCs w:val="24"/>
        </w:rPr>
        <w:t xml:space="preserve">The Engineering Tool Chest is a library of Henderson's engineering calculators -- standalone, single-session web apps accessible to design engineers through Strata. Unlike Strata's project-connected workflows, Tool Chest apps are stateless: no session persistence, no project attachment. Engineers interact with them the way they'd use any modern web-based calculator.</w:t>
      </w:r>
    </w:p>
    <w:p>
      <w:pPr>
        <w:spacing w:after="60" w:before="60"/>
      </w:pPr>
      <w:r>
        <w:t xml:space="preserve"/>
      </w:r>
    </w:p>
    <w:p>
      <w:pPr>
        <w:pStyle w:val="Heading1"/>
        <w:spacing w:after="140" w:before="280"/>
      </w:pPr>
      <w:r>
        <w:rPr>
          <w:rFonts w:ascii="Arial" w:cs="Arial" w:eastAsia="Arial" w:hAnsi="Arial"/>
          <w:b/>
          <w:bCs/>
          <w:color w:val="1F3864"/>
          <w:sz w:val="32"/>
          <w:szCs w:val="32"/>
        </w:rPr>
        <w:t xml:space="preserve">Why This Matters</w:t>
      </w:r>
    </w:p>
    <w:p>
      <w:pPr>
        <w:pStyle w:val="Heading2"/>
        <w:spacing w:after="100" w:before="200"/>
      </w:pPr>
      <w:r>
        <w:rPr>
          <w:rFonts w:ascii="Arial" w:cs="Arial" w:eastAsia="Arial" w:hAnsi="Arial"/>
          <w:b/>
          <w:bCs/>
          <w:color w:val="2E5FA3"/>
          <w:sz w:val="26"/>
          <w:szCs w:val="26"/>
        </w:rPr>
        <w:t xml:space="preserve">It's the API layer Strata will eventually call.</w:t>
      </w:r>
    </w:p>
    <w:p>
      <w:pPr>
        <w:spacing w:after="100" w:before="100"/>
      </w:pPr>
      <w:r>
        <w:rPr>
          <w:rFonts w:ascii="Arial" w:cs="Arial" w:eastAsia="Arial" w:hAnsi="Arial"/>
          <w:sz w:val="24"/>
          <w:szCs w:val="24"/>
        </w:rPr>
        <w:t xml:space="preserve">Building these as true coded applications rather than spreadsheets means each calculator is already structured to function as an endpoint. As Strata's design workflows mature, it can call these tools directly rather than rebuild the logic from scratch.</w:t>
      </w:r>
    </w:p>
    <w:p>
      <w:pPr>
        <w:spacing w:after="60" w:before="60"/>
      </w:pPr>
      <w:r>
        <w:t xml:space="preserve"/>
      </w:r>
    </w:p>
    <w:p>
      <w:pPr>
        <w:pStyle w:val="Heading2"/>
        <w:spacing w:after="100" w:before="200"/>
      </w:pPr>
      <w:r>
        <w:rPr>
          <w:rFonts w:ascii="Arial" w:cs="Arial" w:eastAsia="Arial" w:hAnsi="Arial"/>
          <w:b/>
          <w:bCs/>
          <w:color w:val="2E5FA3"/>
          <w:sz w:val="26"/>
          <w:szCs w:val="26"/>
        </w:rPr>
        <w:t xml:space="preserve">It graduates proven tools into the right medium.</w:t>
      </w:r>
    </w:p>
    <w:p>
      <w:pPr>
        <w:spacing w:after="100" w:before="100"/>
      </w:pPr>
      <w:r>
        <w:rPr>
          <w:rFonts w:ascii="Arial" w:cs="Arial" w:eastAsia="Arial" w:hAnsi="Arial"/>
          <w:sz w:val="24"/>
          <w:szCs w:val="24"/>
        </w:rPr>
        <w:t xml:space="preserve">Henderson's calculator library is technically verified, versioned, and actively maintained -- the engineering rigor is already there. The gap is platform: Excel conflates the input interface, the calculation engine, and the output structure into a single artifact it was never designed to host. The Tool Chest separates those layers, gives each calculator a purpose-built UI, and makes the underlying logic portable and callable by Strata as design workflows mature.</w:t>
      </w:r>
    </w:p>
    <w:p>
      <w:pPr>
        <w:spacing w:after="60" w:before="60"/>
      </w:pPr>
      <w:r>
        <w:t xml:space="preserve"/>
      </w:r>
    </w:p>
    <w:p>
      <w:pPr>
        <w:pStyle w:val="Heading2"/>
        <w:spacing w:after="100" w:before="200"/>
      </w:pPr>
      <w:r>
        <w:rPr>
          <w:rFonts w:ascii="Arial" w:cs="Arial" w:eastAsia="Arial" w:hAnsi="Arial"/>
          <w:b/>
          <w:bCs/>
          <w:color w:val="2E5FA3"/>
          <w:sz w:val="26"/>
          <w:szCs w:val="26"/>
        </w:rPr>
        <w:t xml:space="preserve">It's a low-risk, high-visibility win.</w:t>
      </w:r>
    </w:p>
    <w:p>
      <w:pPr>
        <w:spacing w:after="100" w:before="100"/>
      </w:pPr>
      <w:r>
        <w:rPr>
          <w:rFonts w:ascii="Arial" w:cs="Arial" w:eastAsia="Arial" w:hAnsi="Arial"/>
          <w:sz w:val="24"/>
          <w:szCs w:val="24"/>
        </w:rPr>
        <w:t xml:space="preserve">No data persistence means no project risk, no compliance complexity. Each tool ships independently. Value is visible immediately.</w:t>
      </w:r>
    </w:p>
    <w:p>
      <w:pPr>
        <w:spacing w:after="60" w:before="60"/>
      </w:pPr>
      <w:r>
        <w:t xml:space="preserve"/>
      </w:r>
    </w:p>
    <w:p>
      <w:pPr>
        <w:pStyle w:val="Heading1"/>
        <w:spacing w:after="140" w:before="280"/>
      </w:pPr>
      <w:r>
        <w:rPr>
          <w:rFonts w:ascii="Arial" w:cs="Arial" w:eastAsia="Arial" w:hAnsi="Arial"/>
          <w:b/>
          <w:bCs/>
          <w:color w:val="1F3864"/>
          <w:sz w:val="32"/>
          <w:szCs w:val="32"/>
        </w:rPr>
        <w:t xml:space="preserve">Why Now</w:t>
      </w:r>
    </w:p>
    <w:p>
      <w:pPr>
        <w:spacing w:after="100" w:before="100"/>
      </w:pPr>
      <w:r>
        <w:rPr>
          <w:rFonts w:ascii="Arial" w:cs="Arial" w:eastAsia="Arial" w:hAnsi="Arial"/>
          <w:sz w:val="24"/>
          <w:szCs w:val="24"/>
        </w:rPr>
        <w:t xml:space="preserve">AI-augmented development has fundamentally changed what a small, skilled team can ship. Building consistent, well-designed apps previously required a dedicated software engineering team -- the design, logic, and development work couldn't reasonably be collapsed into fewer hands. That's no longer true.</w:t>
      </w:r>
    </w:p>
    <w:p>
      <w:pPr>
        <w:spacing w:after="60" w:before="60"/>
      </w:pPr>
      <w:r>
        <w:t xml:space="preserve"/>
      </w:r>
    </w:p>
    <w:p>
      <w:pPr>
        <w:spacing w:after="100" w:before="100"/>
      </w:pPr>
      <w:r>
        <w:rPr>
          <w:rFonts w:ascii="Arial" w:cs="Arial" w:eastAsia="Arial" w:hAnsi="Arial"/>
          <w:sz w:val="24"/>
          <w:szCs w:val="24"/>
        </w:rPr>
        <w:t xml:space="preserve">A product designer fluent in AI-assisted development paired with an engineer who has 18 years of domain expertise can now compress what used to be a multi-person, multi-sprint effort into a rapid, repeatable build cycle. The domain knowledge that makes these calculators trustworthy has always existed here. What's new is the ability to deliver it in a modern, purpose-built format without the overhead that previously made that impractical.</w:t>
      </w:r>
    </w:p>
    <w:p>
      <w:pPr>
        <w:spacing w:after="60" w:before="60"/>
      </w:pPr>
      <w:r>
        <w:t xml:space="preserve"/>
      </w:r>
    </w:p>
    <w:p>
      <w:pPr>
        <w:spacing w:after="100" w:before="100"/>
      </w:pPr>
      <w:r>
        <w:rPr>
          <w:rFonts w:ascii="Arial" w:cs="Arial" w:eastAsia="Arial" w:hAnsi="Arial"/>
          <w:sz w:val="24"/>
          <w:szCs w:val="24"/>
        </w:rPr>
        <w:t xml:space="preserve">The Tool Chest is a direct product of that shift -- and the window to move quickly on it is open now.</w:t>
      </w:r>
    </w:p>
    <w:p>
      <w:pPr>
        <w:spacing w:after="60" w:before="60"/>
      </w:pPr>
      <w:r>
        <w:t xml:space="preserve"/>
      </w:r>
    </w:p>
    <w:p>
      <w:pPr>
        <w:pStyle w:val="Heading1"/>
        <w:spacing w:after="140" w:before="280"/>
      </w:pPr>
      <w:r>
        <w:rPr>
          <w:rFonts w:ascii="Arial" w:cs="Arial" w:eastAsia="Arial" w:hAnsi="Arial"/>
          <w:b/>
          <w:bCs/>
          <w:color w:val="1F3864"/>
          <w:sz w:val="32"/>
          <w:szCs w:val="32"/>
        </w:rPr>
        <w:t xml:space="preserve">Delivery Target</w:t>
      </w:r>
    </w:p>
    <w:p>
      <w:pPr>
        <w:spacing w:after="100" w:before="100"/>
      </w:pPr>
      <w:r>
        <w:rPr>
          <w:rFonts w:ascii="Arial" w:cs="Arial" w:eastAsia="Arial" w:hAnsi="Arial"/>
          <w:sz w:val="24"/>
          <w:szCs w:val="24"/>
        </w:rPr>
        <w:t xml:space="preserve">The proposed commitment is 180 calculators delivered over 18 months, at a pace of 10 per month. This is additive to existing Strata platform commitments. Strata goals remain the primary obligation. The Tool Chest is a parallel track with its own agreement and its own delivery standard.</w:t>
      </w:r>
    </w:p>
    <w:p>
      <w:pPr>
        <w:spacing w:after="60" w:before="60"/>
      </w:pPr>
      <w:r>
        <w:t xml:space="preserve"/>
      </w:r>
    </w:p>
    <w:p>
      <w:pPr>
        <w:pStyle w:val="Heading1"/>
        <w:spacing w:after="140" w:before="280"/>
      </w:pPr>
      <w:r>
        <w:rPr>
          <w:rFonts w:ascii="Arial" w:cs="Arial" w:eastAsia="Arial" w:hAnsi="Arial"/>
          <w:b/>
          <w:bCs/>
          <w:color w:val="1F3864"/>
          <w:sz w:val="32"/>
          <w:szCs w:val="32"/>
        </w:rPr>
        <w:t xml:space="preserve">Release Standard</w:t>
      </w:r>
    </w:p>
    <w:p>
      <w:pPr>
        <w:spacing w:after="100" w:before="100"/>
      </w:pPr>
      <w:r>
        <w:rPr>
          <w:rFonts w:ascii="Arial" w:cs="Arial" w:eastAsia="Arial" w:hAnsi="Arial"/>
          <w:sz w:val="24"/>
          <w:szCs w:val="24"/>
        </w:rPr>
        <w:t xml:space="preserve">A calculator is considered released when it has cleared both of the following gates:</w:t>
      </w:r>
    </w:p>
    <w:p>
      <w:pPr>
        <w:spacing w:after="60" w:before="60"/>
      </w:pPr>
      <w:r>
        <w:t xml:space="preserve"/>
      </w:r>
    </w:p>
    <w:p>
      <w:pPr>
        <w:pStyle w:val="ListParagraph"/>
        <w:numPr>
          <w:ilvl w:val="0"/>
          <w:numId w:val="2"/>
        </w:numPr>
        <w:spacing w:after="60" w:before="60"/>
      </w:pPr>
      <w:r>
        <w:rPr>
          <w:rFonts w:ascii="Arial" w:cs="Arial" w:eastAsia="Arial" w:hAnsi="Arial"/>
          <w:sz w:val="24"/>
          <w:szCs w:val="24"/>
        </w:rPr>
        <w:t xml:space="preserve">Technical review and sign-off by the relevant Discipline Engineering Director</w:t>
      </w:r>
    </w:p>
    <w:p>
      <w:pPr>
        <w:pStyle w:val="ListParagraph"/>
        <w:numPr>
          <w:ilvl w:val="0"/>
          <w:numId w:val="2"/>
        </w:numPr>
        <w:spacing w:after="60" w:before="60"/>
      </w:pPr>
      <w:r>
        <w:rPr>
          <w:rFonts w:ascii="Arial" w:cs="Arial" w:eastAsia="Arial" w:hAnsi="Arial"/>
          <w:sz w:val="24"/>
          <w:szCs w:val="24"/>
        </w:rPr>
        <w:t xml:space="preserve">Deployment approval by a Lead or Staff Software Engineer on the Strata team</w:t>
      </w:r>
    </w:p>
    <w:p>
      <w:pPr>
        <w:spacing w:after="60" w:before="60"/>
      </w:pPr>
      <w:r>
        <w:t xml:space="preserve"/>
      </w:r>
    </w:p>
    <w:p>
      <w:pPr>
        <w:spacing w:after="100" w:before="100"/>
      </w:pPr>
      <w:r>
        <w:rPr>
          <w:rFonts w:ascii="Arial" w:cs="Arial" w:eastAsia="Arial" w:hAnsi="Arial"/>
          <w:sz w:val="24"/>
          <w:szCs w:val="24"/>
        </w:rPr>
        <w:t xml:space="preserve">Both gates must be cleared before a tool counts toward any compensation milestone. This keeps the bar clear, external to the build team, and consistent across the library.</w:t>
      </w:r>
    </w:p>
    <w:p>
      <w:pPr>
        <w:spacing w:after="60" w:before="60"/>
      </w:pPr>
      <w:r>
        <w:t xml:space="preserve"/>
      </w:r>
    </w:p>
    <w:p>
      <w:pPr>
        <w:pStyle w:val="Heading1"/>
        <w:spacing w:after="140" w:before="280"/>
      </w:pPr>
      <w:r>
        <w:rPr>
          <w:rFonts w:ascii="Arial" w:cs="Arial" w:eastAsia="Arial" w:hAnsi="Arial"/>
          <w:b/>
          <w:bCs/>
          <w:color w:val="1F3864"/>
          <w:sz w:val="32"/>
          <w:szCs w:val="32"/>
        </w:rPr>
        <w:t xml:space="preserve">Value Context</w:t>
      </w:r>
    </w:p>
    <w:p>
      <w:pPr>
        <w:spacing w:after="100" w:before="100"/>
      </w:pPr>
      <w:r>
        <w:rPr>
          <w:rFonts w:ascii="Arial" w:cs="Arial" w:eastAsia="Arial" w:hAnsi="Arial"/>
          <w:sz w:val="24"/>
          <w:szCs w:val="24"/>
        </w:rPr>
        <w:t xml:space="preserve">The table below situates the proposed compensation against market benchmarks and estimated long-term firm value. A consulting firm delivering 180 purpose-built engineering calculators in 18 months would bill between $900,000 and $1,000,000+. Conservative estimates of 10-year firm value created -- based on recovered engineer time alone, at 3 uses per week per tool at a $135 fully-loaded hourly rate -- land between $20 and $25 million.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Value benchmark</w:t>
            </w:r>
          </w:p>
        </w:tc>
        <w:tc>
          <w:tcPr>
            <w:tcW w:type="dxa" w:w="2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Amount</w:t>
            </w:r>
          </w:p>
        </w:tc>
        <w:tc>
          <w:tcPr>
            <w:tcW w:type="dxa" w:w="2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vs market rate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rate to hire out (180 tools)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$900,000 -- $1,000,000+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100%</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Proposed total firm cost</w:t>
            </w:r>
          </w:p>
        </w:tc>
        <w:tc>
          <w:tcPr>
            <w:tcW w:type="dxa" w:w="2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$630,000</w:t>
            </w:r>
          </w:p>
        </w:tc>
        <w:tc>
          <w:tcPr>
            <w:tcW w:type="dxa" w:w="2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~63%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Conservative 10-year value created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$20,000,000 -- $25,000,000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w:t>
            </w:r>
          </w:p>
        </w:tc>
      </w:tr>
      <w:tr>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b/>
                <w:bCs/>
                <w:sz w:val="20"/>
                <w:szCs w:val="20"/>
              </w:rPr>
              <w:t xml:space="preserve">Proposed cost as % of 10-year value</w:t>
            </w:r>
          </w:p>
        </w:tc>
        <w:tc>
          <w:tcPr>
            <w:tcW w:type="dxa" w:w="2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sz w:val="20"/>
                <w:szCs w:val="20"/>
              </w:rPr>
              <w:t xml:space="preserve">--</w:t>
            </w:r>
          </w:p>
        </w:tc>
        <w:tc>
          <w:tcPr>
            <w:tcW w:type="dxa" w:w="25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b/>
                <w:bCs/>
                <w:sz w:val="20"/>
                <w:szCs w:val="20"/>
              </w:rPr>
              <w:t xml:space="preserve">~3%</w:t>
            </w:r>
          </w:p>
        </w:tc>
      </w:tr>
    </w:tbl>
    <w:p>
      <w:pPr>
        <w:spacing w:after="60" w:before="60"/>
      </w:pPr>
      <w:r>
        <w:t xml:space="preserve"/>
      </w:r>
    </w:p>
    <w:p>
      <w:r>
        <w:br w:type="page"/>
      </w:r>
    </w:p>
    <w:p>
      <w:pPr>
        <w:spacing w:after="80" w:before="0"/>
      </w:pPr>
      <w:r>
        <w:rPr>
          <w:rFonts w:ascii="Arial" w:cs="Arial" w:eastAsia="Arial" w:hAnsi="Arial"/>
          <w:b/>
          <w:bCs/>
          <w:color w:val="1F3864"/>
          <w:sz w:val="40"/>
          <w:szCs w:val="40"/>
        </w:rPr>
        <w:t xml:space="preserve">Appendix: Compensation Structure</w:t>
      </w:r>
    </w:p>
    <w:p>
      <w:pPr>
        <w:spacing w:after="200" w:before="0"/>
      </w:pPr>
      <w:r>
        <w:rPr>
          <w:rFonts w:ascii="Arial" w:cs="Arial" w:eastAsia="Arial" w:hAnsi="Arial"/>
          <w:i/>
          <w:iCs/>
          <w:color w:val="888888"/>
          <w:sz w:val="24"/>
          <w:szCs w:val="24"/>
        </w:rPr>
        <w:t xml:space="preserve">Proposed incentive agreement -- 18-month delivery target, 180 calculators</w:t>
      </w:r>
    </w:p>
    <w:p>
      <w:pPr>
        <w:pBdr>
          <w:bottom w:val="single" w:color="CCCCCC" w:sz="4" w:space="1"/>
        </w:pBdr>
        <w:spacing w:after="160" w:before="160"/>
      </w:pPr>
      <w:r>
        <w:t xml:space="preserve"/>
      </w:r>
    </w:p>
    <w:p>
      <w:pPr>
        <w:pStyle w:val="Heading2"/>
        <w:spacing w:after="100" w:before="200"/>
      </w:pPr>
      <w:r>
        <w:rPr>
          <w:rFonts w:ascii="Arial" w:cs="Arial" w:eastAsia="Arial" w:hAnsi="Arial"/>
          <w:b/>
          <w:bCs/>
          <w:color w:val="2E5FA3"/>
          <w:sz w:val="26"/>
          <w:szCs w:val="26"/>
        </w:rPr>
        <w:t xml:space="preserve">Structure</w:t>
      </w:r>
    </w:p>
    <w:p>
      <w:pPr>
        <w:spacing w:after="100" w:before="100"/>
      </w:pPr>
      <w:r>
        <w:rPr>
          <w:rFonts w:ascii="Arial" w:cs="Arial" w:eastAsia="Arial" w:hAnsi="Arial"/>
          <w:sz w:val="24"/>
          <w:szCs w:val="24"/>
        </w:rPr>
        <w:t xml:space="preserve">Compensation is paid in two components: a per-tool bonus of $1,500 per person paid at release, and four milestone bonuses paid when cumulative release totals are reached. Milestones are additive -- each is paid once when the threshold is crossed and does not repeat.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Per person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Total (2 people)</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Target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 calculator released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$3,000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Paid at release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10 calculators released</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sz w:val="20"/>
                <w:szCs w:val="20"/>
              </w:rPr>
              <w:t xml:space="preserve">$5,000</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sz w:val="20"/>
                <w:szCs w:val="20"/>
              </w:rPr>
              <w:t xml:space="preserve">$10,000</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sz w:val="20"/>
                <w:szCs w:val="20"/>
              </w:rPr>
              <w:t xml:space="preserve">Month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 calculators released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Month 3</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rFonts w:ascii="Arial" w:cs="Arial" w:eastAsia="Arial" w:hAnsi="Arial"/>
                <w:sz w:val="20"/>
                <w:szCs w:val="20"/>
              </w:rPr>
              <w:t xml:space="preserve">50 calculators released</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sz w:val="20"/>
                <w:szCs w:val="20"/>
              </w:rPr>
              <w:t xml:space="preserve">$10,000</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sz w:val="20"/>
                <w:szCs w:val="20"/>
              </w:rPr>
              <w:t xml:space="preserve">$20,000</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right"/>
            </w:pPr>
            <w:r>
              <w:rPr>
                <w:rFonts w:ascii="Arial" w:cs="Arial" w:eastAsia="Arial" w:hAnsi="Arial"/>
                <w:sz w:val="20"/>
                <w:szCs w:val="20"/>
              </w:rPr>
              <w:t xml:space="preserve">Month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180 calculators released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$30,000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Month 18</w:t>
            </w:r>
          </w:p>
        </w:tc>
      </w:tr>
      <w:tr>
        <w:tc>
          <w:tcPr>
            <w:tcW w:type="dxa" w:w="4800"/>
            <w:gridSpan w:val="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Total per person (full library)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$630,000</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$315,000 each</w:t>
            </w:r>
          </w:p>
        </w:tc>
      </w:tr>
    </w:tbl>
    <w:p>
      <w:pPr>
        <w:spacing w:after="60" w:before="60"/>
      </w:pPr>
      <w:r>
        <w:t xml:space="preserve"/>
      </w:r>
    </w:p>
    <w:p>
      <w:pPr>
        <w:spacing w:after="60" w:before="60"/>
      </w:pPr>
      <w:r>
        <w:t xml:space="preserve"/>
      </w:r>
    </w:p>
    <w:p>
      <w:pPr>
        <w:pStyle w:val="Heading2"/>
        <w:spacing w:after="100" w:before="200"/>
      </w:pPr>
      <w:r>
        <w:rPr>
          <w:rFonts w:ascii="Arial" w:cs="Arial" w:eastAsia="Arial" w:hAnsi="Arial"/>
          <w:b/>
          <w:bCs/>
          <w:color w:val="2E5FA3"/>
          <w:sz w:val="26"/>
          <w:szCs w:val="26"/>
        </w:rPr>
        <w:t xml:space="preserve">Monthly breakdown</w:t>
      </w:r>
    </w:p>
    <w:p>
      <w:pPr>
        <w:spacing w:after="100" w:before="100"/>
      </w:pPr>
      <w:r>
        <w:rPr>
          <w:rFonts w:ascii="Arial" w:cs="Arial" w:eastAsia="Arial" w:hAnsi="Arial"/>
          <w:sz w:val="24"/>
          <w:szCs w:val="24"/>
        </w:rPr>
        <w:t xml:space="preserve">The table below maps compensation month by month at a pace of 10 tools per month. Highlighted rows are milestone months where bonus comp stacks on top of the per-tool rate.</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400"/>
        <w:gridCol w:w="2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Tools released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Cumulative tools</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Monthly comp (per person)</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Cumulative (per person)</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185FA5"/>
                <w:sz w:val="20"/>
                <w:szCs w:val="20"/>
              </w:rPr>
              <w:t xml:space="preserve">Month 1  (milestone)</w:t>
            </w:r>
          </w:p>
        </w:tc>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val="false"/>
                <w:bCs w:val="false"/>
                <w:color w:val="185FA5"/>
                <w:sz w:val="20"/>
                <w:szCs w:val="20"/>
              </w:rPr>
              <w:t xml:space="preserve">10</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val="false"/>
                <w:bCs w:val="false"/>
                <w:color w:val="185FA5"/>
                <w:sz w:val="20"/>
                <w:szCs w:val="20"/>
              </w:rPr>
              <w:t xml:space="preserve">10</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bCs/>
                <w:color w:val="185FA5"/>
                <w:sz w:val="20"/>
                <w:szCs w:val="20"/>
              </w:rPr>
              <w:t xml:space="preserve">$20,000</w:t>
            </w:r>
          </w:p>
        </w:tc>
        <w:tc>
          <w:tcPr>
            <w:tcW w:type="dxa" w:w="2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bCs/>
                <w:color w:val="185FA5"/>
                <w:sz w:val="20"/>
                <w:szCs w:val="20"/>
              </w:rPr>
              <w:t xml:space="preserve">$20,000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$65,000</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185FA5"/>
                <w:sz w:val="20"/>
                <w:szCs w:val="20"/>
              </w:rPr>
              <w:t xml:space="preserve">Month 5  (milestone)</w:t>
            </w:r>
          </w:p>
        </w:tc>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val="false"/>
                <w:bCs w:val="false"/>
                <w:color w:val="185FA5"/>
                <w:sz w:val="20"/>
                <w:szCs w:val="20"/>
              </w:rPr>
              <w:t xml:space="preserve">10</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val="false"/>
                <w:bCs w:val="false"/>
                <w:color w:val="185FA5"/>
                <w:sz w:val="20"/>
                <w:szCs w:val="20"/>
              </w:rPr>
              <w:t xml:space="preserve">50</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bCs/>
                <w:color w:val="185FA5"/>
                <w:sz w:val="20"/>
                <w:szCs w:val="20"/>
              </w:rPr>
              <w:t xml:space="preserve">$25,000</w:t>
            </w:r>
          </w:p>
        </w:tc>
        <w:tc>
          <w:tcPr>
            <w:tcW w:type="dxa" w:w="2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bCs/>
                <w:color w:val="185FA5"/>
                <w:sz w:val="20"/>
                <w:szCs w:val="20"/>
              </w:rPr>
              <w:t xml:space="preserve">$90,000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80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$135,000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$180,000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$195,000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$210,000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$240,000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 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$270,000</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185FA5"/>
                <w:sz w:val="20"/>
                <w:szCs w:val="20"/>
              </w:rPr>
              <w:t xml:space="preserve">Month 18  (milestone)</w:t>
            </w:r>
          </w:p>
        </w:tc>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val="false"/>
                <w:bCs w:val="false"/>
                <w:color w:val="185FA5"/>
                <w:sz w:val="20"/>
                <w:szCs w:val="20"/>
              </w:rPr>
              <w:t xml:space="preserve">10</w:t>
            </w:r>
          </w:p>
        </w:tc>
        <w:tc>
          <w:tcPr>
            <w:tcW w:type="dxa" w:w="2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val="false"/>
                <w:bCs w:val="false"/>
                <w:color w:val="185FA5"/>
                <w:sz w:val="20"/>
                <w:szCs w:val="20"/>
              </w:rPr>
              <w:t xml:space="preserve">180</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bCs/>
                <w:color w:val="185FA5"/>
                <w:sz w:val="20"/>
                <w:szCs w:val="20"/>
              </w:rPr>
              <w:t xml:space="preserve">$30,000</w:t>
            </w:r>
          </w:p>
        </w:tc>
        <w:tc>
          <w:tcPr>
            <w:tcW w:type="dxa" w:w="25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right"/>
            </w:pPr>
            <w:r>
              <w:rPr>
                <w:rFonts w:ascii="Arial" w:cs="Arial" w:eastAsia="Arial" w:hAnsi="Arial"/>
                <w:b/>
                <w:bCs/>
                <w:color w:val="185FA5"/>
                <w:sz w:val="20"/>
                <w:szCs w:val="20"/>
              </w:rPr>
              <w:t xml:space="preserve">$300,000</w:t>
            </w:r>
          </w:p>
        </w:tc>
      </w:tr>
      <w:tr>
        <w:tc>
          <w:tcPr>
            <w:tcW w:type="dxa" w:w="5400"/>
            <w:gridSpan w:val="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Total per person (full library)</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right"/>
            </w:pPr>
            <w:r>
              <w:rPr>
                <w:rFonts w:ascii="Arial" w:cs="Arial" w:eastAsia="Arial" w:hAnsi="Arial"/>
                <w:b/>
                <w:bCs/>
                <w:color w:val="FFFFFF"/>
                <w:sz w:val="20"/>
                <w:szCs w:val="20"/>
              </w:rPr>
              <w:t xml:space="preserve">$315,000</w:t>
            </w:r>
          </w:p>
        </w:tc>
      </w:tr>
    </w:tbl>
    <w:p>
      <w:pPr>
        <w:spacing w:after="60" w:before="60"/>
      </w:pPr>
      <w:r>
        <w:t xml:space="preserve"/>
      </w:r>
    </w:p>
    <w:p>
      <w:pPr>
        <w:spacing w:after="60" w:before="60"/>
      </w:pPr>
      <w:r>
        <w:t xml:space="preserve"/>
      </w:r>
    </w:p>
    <w:p>
      <w:pPr>
        <w:pStyle w:val="Heading2"/>
        <w:spacing w:after="100" w:before="200"/>
      </w:pPr>
      <w:r>
        <w:rPr>
          <w:rFonts w:ascii="Arial" w:cs="Arial" w:eastAsia="Arial" w:hAnsi="Arial"/>
          <w:b/>
          <w:bCs/>
          <w:color w:val="2E5FA3"/>
          <w:sz w:val="26"/>
          <w:szCs w:val="26"/>
        </w:rPr>
        <w:t xml:space="preserve">Notes</w:t>
      </w:r>
    </w:p>
    <w:p>
      <w:pPr>
        <w:pStyle w:val="ListParagraph"/>
        <w:numPr>
          <w:ilvl w:val="0"/>
          <w:numId w:val="2"/>
        </w:numPr>
        <w:spacing w:after="60" w:before="60"/>
      </w:pPr>
      <w:r>
        <w:rPr>
          <w:rFonts w:ascii="Arial" w:cs="Arial" w:eastAsia="Arial" w:hAnsi="Arial"/>
          <w:sz w:val="24"/>
          <w:szCs w:val="24"/>
        </w:rPr>
        <w:t xml:space="preserve">This work is additive to existing Strata platform commitments. Strata goals remain the primary obligation.</w:t>
      </w:r>
    </w:p>
    <w:p>
      <w:pPr>
        <w:pStyle w:val="ListParagraph"/>
        <w:numPr>
          <w:ilvl w:val="0"/>
          <w:numId w:val="2"/>
        </w:numPr>
        <w:spacing w:after="60" w:before="60"/>
      </w:pPr>
      <w:r>
        <w:rPr>
          <w:rFonts w:ascii="Arial" w:cs="Arial" w:eastAsia="Arial" w:hAnsi="Arial"/>
          <w:sz w:val="24"/>
          <w:szCs w:val="24"/>
        </w:rPr>
        <w:t xml:space="preserve">Per-tool bonuses are paid upon release, not upon build completion. The dual-gate release standard is the trigger.</w:t>
      </w:r>
    </w:p>
    <w:p>
      <w:pPr>
        <w:pStyle w:val="ListParagraph"/>
        <w:numPr>
          <w:ilvl w:val="0"/>
          <w:numId w:val="2"/>
        </w:numPr>
        <w:spacing w:after="60" w:before="60"/>
      </w:pPr>
      <w:r>
        <w:rPr>
          <w:rFonts w:ascii="Arial" w:cs="Arial" w:eastAsia="Arial" w:hAnsi="Arial"/>
          <w:sz w:val="24"/>
          <w:szCs w:val="24"/>
        </w:rPr>
        <w:t xml:space="preserve">Milestone bonuses are paid once per threshold. Reaching 25 tools pays the 25-tool bonus only -- prior milestones already paid are not re-triggered.</w:t>
      </w:r>
    </w:p>
    <w:p>
      <w:pPr>
        <w:pStyle w:val="ListParagraph"/>
        <w:numPr>
          <w:ilvl w:val="0"/>
          <w:numId w:val="2"/>
        </w:numPr>
        <w:spacing w:after="60" w:before="60"/>
      </w:pPr>
      <w:r>
        <w:rPr>
          <w:rFonts w:ascii="Arial" w:cs="Arial" w:eastAsia="Arial" w:hAnsi="Arial"/>
          <w:sz w:val="24"/>
          <w:szCs w:val="24"/>
        </w:rPr>
        <w:t xml:space="preserve">The estimated timeline is 18 months at 10 calculators per month for the full library of 180 tools.</w:t>
      </w:r>
    </w:p>
    <w:p>
      <w:pPr>
        <w:pStyle w:val="ListParagraph"/>
        <w:numPr>
          <w:ilvl w:val="0"/>
          <w:numId w:val="2"/>
        </w:numPr>
        <w:spacing w:after="60" w:before="60"/>
      </w:pPr>
      <w:r>
        <w:rPr>
          <w:rFonts w:ascii="Arial" w:cs="Arial" w:eastAsia="Arial" w:hAnsi="Arial"/>
          <w:sz w:val="24"/>
          <w:szCs w:val="24"/>
        </w:rPr>
        <w:t xml:space="preserve">This is a gentleman's agreement between the parties named. It is not a formal employment contract amendment.</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0BF2B64F157D4887D58E229622CC92" ma:contentTypeVersion="11" ma:contentTypeDescription="Create a new document." ma:contentTypeScope="" ma:versionID="84951c827cedd46ba0b127dd3a4d4902">
  <xsd:schema xmlns:xsd="http://www.w3.org/2001/XMLSchema" xmlns:xs="http://www.w3.org/2001/XMLSchema" xmlns:p="http://schemas.microsoft.com/office/2006/metadata/properties" xmlns:ns2="c9579d1c-990a-4676-b3b6-555839cfdcde" targetNamespace="http://schemas.microsoft.com/office/2006/metadata/properties" ma:root="true" ma:fieldsID="dc0b945a69102c04ab0a05a5873f5cc1" ns2:_="">
    <xsd:import namespace="c9579d1c-990a-4676-b3b6-555839cfd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79d1c-990a-4676-b3b6-555839cfdc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9fa0900-0624-44c0-a8e8-1ed0b981f9c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579d1c-990a-4676-b3b6-555839cfdc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C36FDA-AB13-4098-A153-24FDBCCB0FF3}"/>
</file>

<file path=customXml/itemProps2.xml><?xml version="1.0" encoding="utf-8"?>
<ds:datastoreItem xmlns:ds="http://schemas.openxmlformats.org/officeDocument/2006/customXml" ds:itemID="{0BEED32E-1040-4248-88B6-D7C7FB25E489}"/>
</file>

<file path=customXml/itemProps3.xml><?xml version="1.0" encoding="utf-8"?>
<ds:datastoreItem xmlns:ds="http://schemas.openxmlformats.org/officeDocument/2006/customXml" ds:itemID="{A00C4074-09C6-4D0B-9B7E-DDBCD33FC34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2026-04-03T03:15:19Z</dcterms:created>
  <dcterms:modified xsi:type="dcterms:W3CDTF">2026-04-03T03:15:19Z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0x010100510BF2B64F157D4887D58E229622CC92</vt:lpwstr>
  </property>
</Properties>
</file>