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：V1.7（评审稿）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题库健康度提示：某题型或某分类题量不足以支撑常见组卷时高亮提醒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排序：更新时间、使用次数、编码；分页，每页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批量操作：批量改分类、改难度、批量删除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导出：按当前筛选结果导出为 Excel（题型、分类、二级、难度、题干、选项、答案、解析）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实时校验：必填未填、单选题答案必须唯一、多选题答案至少两个、答案必须在选项范围内；不通过不允许保存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保存前重复检测：题干与库内已有题目高度相似时提示，可选择"仍然保存"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支持格式：Excel（.xlsx）、Word（.docx）、纯文本（.txt）、PDF（文字型）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题待补全」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提交前前端先拦：勾选的题里缺题干/答案时不开请求，直接指出「第 N 题缺答案」；后端拒收的题留在本页、在表格上方列出题干与具体原因，并自动取消这些题的勾选，不弹阻塞式对话框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限制说明：仅支持文字型 PDF；扫描件（图片）无法识别，界面明确提示用户改用 Word/Excel 或先做 OCR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30%）并说明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偏差"，偏差超过 ±1 时高亮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打印样式：A4、页边距 2cm、页脚"第 X 页 共 Y 页"、题目与其选项不被分页拆开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