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551FFE7D" w:rsidR="00243C38" w:rsidRPr="00607EA1" w:rsidRDefault="00EC6701" w:rsidP="00543832">
      <w:pPr>
        <w:rPr>
          <w:rFonts w:cstheme="minorHAnsi"/>
        </w:rPr>
      </w:pPr>
      <w:r w:rsidRPr="00607EA1">
        <w:rPr>
          <w:rFonts w:cstheme="minorHAnsi"/>
        </w:rPr>
        <w:t xml:space="preserve">Topic </w:t>
      </w:r>
      <w:r w:rsidR="003E5DBC" w:rsidRPr="00607EA1">
        <w:rPr>
          <w:rFonts w:cstheme="minorHAnsi"/>
        </w:rPr>
        <w:t xml:space="preserve">1: Numeracy </w:t>
      </w:r>
      <w:r w:rsidR="00337E64" w:rsidRPr="00607EA1">
        <w:rPr>
          <w:rFonts w:cstheme="minorHAnsi"/>
        </w:rPr>
        <w:t xml:space="preserve">and Risk Communication </w:t>
      </w:r>
      <w:r w:rsidR="003E5DBC" w:rsidRPr="00607EA1">
        <w:rPr>
          <w:rFonts w:cstheme="minorHAnsi"/>
        </w:rPr>
        <w:t>with</w:t>
      </w:r>
      <w:r w:rsidRPr="00607EA1">
        <w:rPr>
          <w:rFonts w:cstheme="minorHAnsi"/>
        </w:rPr>
        <w:t xml:space="preserve"> Dr. Victoria Shaffer</w:t>
      </w:r>
    </w:p>
    <w:p w14:paraId="4772EFB4" w14:textId="1F62B49E" w:rsidR="00607EA1" w:rsidRPr="00607EA1" w:rsidRDefault="00607EA1" w:rsidP="00543832">
      <w:pPr>
        <w:rPr>
          <w:rFonts w:cstheme="minorHAnsi"/>
        </w:rPr>
      </w:pPr>
    </w:p>
    <w:p w14:paraId="77D33784" w14:textId="3F1F6810" w:rsidR="00607EA1" w:rsidRPr="00607EA1" w:rsidRDefault="00607EA1" w:rsidP="00607EA1">
      <w:pPr>
        <w:ind w:left="720" w:hanging="720"/>
        <w:rPr>
          <w:rFonts w:cstheme="minorHAnsi"/>
          <w:color w:val="333333"/>
          <w:shd w:val="clear" w:color="auto" w:fill="FFFFFF"/>
        </w:rPr>
      </w:pPr>
      <w:r w:rsidRPr="00607EA1">
        <w:rPr>
          <w:rFonts w:cstheme="minorHAnsi"/>
          <w:color w:val="333333"/>
          <w:shd w:val="clear" w:color="auto" w:fill="FFFFFF"/>
        </w:rPr>
        <w:t>Peters, E. (2020). </w:t>
      </w:r>
      <w:r w:rsidRPr="00607EA1">
        <w:rPr>
          <w:rStyle w:val="Emphasis"/>
          <w:rFonts w:cstheme="minorHAnsi"/>
          <w:color w:val="333333"/>
          <w:shd w:val="clear" w:color="auto" w:fill="FFFFFF"/>
        </w:rPr>
        <w:t>Innumeracy in the wild: Misunderstanding and misusing numbers.</w:t>
      </w:r>
      <w:r w:rsidRPr="00607EA1">
        <w:rPr>
          <w:rFonts w:cstheme="minorHAnsi"/>
          <w:color w:val="333333"/>
          <w:shd w:val="clear" w:color="auto" w:fill="FFFFFF"/>
        </w:rPr>
        <w:t> Oxford University Press.</w:t>
      </w:r>
    </w:p>
    <w:p w14:paraId="4D7DAEBC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Reyna, V. F., &amp; Brainerd, C. J. (1995). Fuzzy-trace theory: An interim synthesis.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Learning and Individual Differences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7</w:t>
      </w:r>
      <w:r w:rsidRPr="00607EA1">
        <w:rPr>
          <w:rFonts w:asciiTheme="minorHAnsi" w:hAnsiTheme="minorHAnsi" w:cstheme="minorHAnsi"/>
          <w:sz w:val="22"/>
          <w:szCs w:val="22"/>
        </w:rPr>
        <w:t>(1), 1–75. https://doi.org/10.1016/1041-6080(95)90031-4</w:t>
      </w:r>
    </w:p>
    <w:p w14:paraId="69A536E4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Estrada, C. (1999). Health Literacy and Numeracy. In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JAMA: The Journal of the American Medical Association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 (Vol. 282, Issue 6). https://doi.org/10.1001/jama.282.6.527</w:t>
      </w:r>
    </w:p>
    <w:p w14:paraId="0237A572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Lipkus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I. M., Samsa, G., &amp; Rimer, B. K. (2001). General performance on a numeracy scale among highly educated samples.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21</w:t>
      </w:r>
      <w:r w:rsidRPr="00607EA1">
        <w:rPr>
          <w:rFonts w:asciiTheme="minorHAnsi" w:hAnsiTheme="minorHAnsi" w:cstheme="minorHAnsi"/>
          <w:sz w:val="22"/>
          <w:szCs w:val="22"/>
        </w:rPr>
        <w:t>(1), 37–44. https://doi.org/10.1177/0272989X0102100105</w:t>
      </w:r>
    </w:p>
    <w:p w14:paraId="2BD2A702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Ashcraft, M. H. (2002). Math anxiety: Personal, educational, and cognitive consequences.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Current Directions in Psychological Science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11</w:t>
      </w:r>
      <w:r w:rsidRPr="00607EA1">
        <w:rPr>
          <w:rFonts w:asciiTheme="minorHAnsi" w:hAnsiTheme="minorHAnsi" w:cstheme="minorHAnsi"/>
          <w:sz w:val="22"/>
          <w:szCs w:val="22"/>
        </w:rPr>
        <w:t>(5), 181–185. https://doi.org/10.1111/1467-8721.00196</w:t>
      </w:r>
    </w:p>
    <w:p w14:paraId="4B5DD218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Ni, Y., &amp; Zhou, Y. Di. (2005). Teaching and learning fraction and rational numbers: The origins and implications of whole number bias.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Educational Psychologist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40</w:t>
      </w:r>
      <w:r w:rsidRPr="00607EA1">
        <w:rPr>
          <w:rFonts w:asciiTheme="minorHAnsi" w:hAnsiTheme="minorHAnsi" w:cstheme="minorHAnsi"/>
          <w:sz w:val="22"/>
          <w:szCs w:val="22"/>
        </w:rPr>
        <w:t>(1), 27–52. https://doi.org/10.1207/s15326985ep4001_3</w:t>
      </w:r>
    </w:p>
    <w:p w14:paraId="6951AF71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Peters, E., Hibbard, J.,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Slovic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P., &amp; Dieckmann, N. (2007). Numeracy skill and the communication, comprehension, and use of risk-benefit information.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Affairs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26</w:t>
      </w:r>
      <w:r w:rsidRPr="00607EA1">
        <w:rPr>
          <w:rFonts w:asciiTheme="minorHAnsi" w:hAnsiTheme="minorHAnsi" w:cstheme="minorHAnsi"/>
          <w:sz w:val="22"/>
          <w:szCs w:val="22"/>
        </w:rPr>
        <w:t>(3), 741–748. https://doi.org/10.1377/hlthaff.26.3.741</w:t>
      </w:r>
    </w:p>
    <w:p w14:paraId="7DC48240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Fagerlin, A., Zikmund-Fisher, B. J., Ubel, P. A., Jankovic, A., Derry, H. A., &amp; Smith, D. M. (2007). Measuring numeracy without a math test: Development of the subjective numeracy scale.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27</w:t>
      </w:r>
      <w:r w:rsidRPr="00607EA1">
        <w:rPr>
          <w:rFonts w:asciiTheme="minorHAnsi" w:hAnsiTheme="minorHAnsi" w:cstheme="minorHAnsi"/>
          <w:sz w:val="22"/>
          <w:szCs w:val="22"/>
        </w:rPr>
        <w:t>(5), 672–680. https://doi.org/10.1177/0272989X07304449</w:t>
      </w:r>
    </w:p>
    <w:p w14:paraId="76C5C948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Nutbeam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D. (2008). The evolving concept of health literacy.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Social Science and Medicine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67</w:t>
      </w:r>
      <w:r w:rsidRPr="00607EA1">
        <w:rPr>
          <w:rFonts w:asciiTheme="minorHAnsi" w:hAnsiTheme="minorHAnsi" w:cstheme="minorHAnsi"/>
          <w:sz w:val="22"/>
          <w:szCs w:val="22"/>
        </w:rPr>
        <w:t>(12), 2072–2078. https://doi.org/10.1016/j.socscimed.2008.09.050</w:t>
      </w:r>
    </w:p>
    <w:p w14:paraId="1CC7CF10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>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R., &amp;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Galesic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M. (2009). Communicating treatment risk reduction to people with low numeracy skills: A cross-cultural comparison.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American Journal of Public Health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99</w:t>
      </w:r>
      <w:r w:rsidRPr="00607EA1">
        <w:rPr>
          <w:rFonts w:asciiTheme="minorHAnsi" w:hAnsiTheme="minorHAnsi" w:cstheme="minorHAnsi"/>
          <w:sz w:val="22"/>
          <w:szCs w:val="22"/>
        </w:rPr>
        <w:t>(12), 2196–2202. https://doi.org/10.2105/AJPH.2009.160234</w:t>
      </w:r>
    </w:p>
    <w:p w14:paraId="385F4EB0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Keller, C., &amp; Siegrist, M. (2009). Effect of risk communication formats on risk perception depending on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29</w:t>
      </w:r>
      <w:r w:rsidRPr="00607EA1">
        <w:rPr>
          <w:rFonts w:asciiTheme="minorHAnsi" w:hAnsiTheme="minorHAnsi" w:cstheme="minorHAnsi"/>
          <w:sz w:val="22"/>
          <w:szCs w:val="22"/>
        </w:rPr>
        <w:t>(4), 483–490. https://doi.org/10.1177/0272989X09333122</w:t>
      </w:r>
    </w:p>
    <w:p w14:paraId="3B5A806B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Galesic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>, M., 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R., &amp;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Gigerenzer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G. (2009). Using Icon Arrays to Communicate Medical Risks: Overcoming Low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Psychology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28</w:t>
      </w:r>
      <w:r w:rsidRPr="00607EA1">
        <w:rPr>
          <w:rFonts w:asciiTheme="minorHAnsi" w:hAnsiTheme="minorHAnsi" w:cstheme="minorHAnsi"/>
          <w:sz w:val="22"/>
          <w:szCs w:val="22"/>
        </w:rPr>
        <w:t>(2), 210–216. https://doi.org/10.1037/a0014474</w:t>
      </w:r>
    </w:p>
    <w:p w14:paraId="19FD517B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lastRenderedPageBreak/>
        <w:t>Lipkus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I. M., &amp; Peters, E. (2009). Understanding the Role of Numeracy in Health: Proposed Theoretical Framework and Practical Insights.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Education &amp; Behavior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36</w:t>
      </w:r>
      <w:r w:rsidRPr="00607EA1">
        <w:rPr>
          <w:rFonts w:asciiTheme="minorHAnsi" w:hAnsiTheme="minorHAnsi" w:cstheme="minorHAnsi"/>
          <w:sz w:val="22"/>
          <w:szCs w:val="22"/>
        </w:rPr>
        <w:t>(6), 1065–1081. https://doi.org/10.1177/1090198109341533</w:t>
      </w:r>
    </w:p>
    <w:p w14:paraId="262B8F89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Fagerlin, A., &amp; Ubel, P. A. (2010). Risky feelings: Why a 6% risk of cancer does not always feel like 6%.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Patient Education and Counseling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81</w:t>
      </w:r>
      <w:r w:rsidRPr="00607EA1">
        <w:rPr>
          <w:rFonts w:asciiTheme="minorHAnsi" w:hAnsiTheme="minorHAnsi" w:cstheme="minorHAnsi"/>
          <w:sz w:val="22"/>
          <w:szCs w:val="22"/>
        </w:rPr>
        <w:t>(1), S87–S93. https://doi.org/10.1016/j.pec.2010.07.041</w:t>
      </w:r>
    </w:p>
    <w:p w14:paraId="702E48EB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Ciampa, P. J., Osborn, C. Y., Peterson, N. B., &amp; Rothman, R. L. (2010). Patient numeracy, perceptions of provider communication, and colorectal cancer screening utilization.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Health Communication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15</w:t>
      </w:r>
      <w:r w:rsidRPr="00607EA1">
        <w:rPr>
          <w:rFonts w:asciiTheme="minorHAnsi" w:hAnsiTheme="minorHAnsi" w:cstheme="minorHAnsi"/>
          <w:sz w:val="22"/>
          <w:szCs w:val="22"/>
        </w:rPr>
        <w:t>(SUPPL. 3), 157–168. https://doi.org/10.1080/10810730.2010.522699</w:t>
      </w:r>
    </w:p>
    <w:p w14:paraId="3AB04A85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Dickson, M., &amp; Witteman, H. O. (2011). Cool but counterproductive: Interactive, web-based risk communications can backfire.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Medical Internet Research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13</w:t>
      </w:r>
      <w:r w:rsidRPr="00607EA1">
        <w:rPr>
          <w:rFonts w:asciiTheme="minorHAnsi" w:hAnsiTheme="minorHAnsi" w:cstheme="minorHAnsi"/>
          <w:sz w:val="22"/>
          <w:szCs w:val="22"/>
        </w:rPr>
        <w:t>(3), 1–11. https://doi.org/10.2196/jmir.1665</w:t>
      </w:r>
    </w:p>
    <w:p w14:paraId="1827A091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Hess, R.,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Visschers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V. H. M., Siegrist, M., &amp; Keller, C. (2011). How do people perceive graphical risk communication? the role of subjective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Risk Research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14</w:t>
      </w:r>
      <w:r w:rsidRPr="00607EA1">
        <w:rPr>
          <w:rFonts w:asciiTheme="minorHAnsi" w:hAnsiTheme="minorHAnsi" w:cstheme="minorHAnsi"/>
          <w:sz w:val="22"/>
          <w:szCs w:val="22"/>
        </w:rPr>
        <w:t>(1), 47–61. https://doi.org/10.1080/13669877.2010.488745</w:t>
      </w:r>
    </w:p>
    <w:p w14:paraId="4347A2C2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Fagerlin, A., Zikmund-Fisher, B. J., &amp; Ubel, P. A. (2011). Helping patients decide: Ten steps to better risk communication.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the National Cancer Institute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103</w:t>
      </w:r>
      <w:r w:rsidRPr="00607EA1">
        <w:rPr>
          <w:rFonts w:asciiTheme="minorHAnsi" w:hAnsiTheme="minorHAnsi" w:cstheme="minorHAnsi"/>
          <w:sz w:val="22"/>
          <w:szCs w:val="22"/>
        </w:rPr>
        <w:t>(19), 1436–1443. https://doi.org/10.1093/jnci/djr318</w:t>
      </w:r>
    </w:p>
    <w:p w14:paraId="2E3BBC47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Galesic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>, M., &amp; 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 (2011). Do Low-Numeracy People Avoid Shared Decision Making?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Psychology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30</w:t>
      </w:r>
      <w:r w:rsidRPr="00607EA1">
        <w:rPr>
          <w:rFonts w:asciiTheme="minorHAnsi" w:hAnsiTheme="minorHAnsi" w:cstheme="minorHAnsi"/>
          <w:sz w:val="22"/>
          <w:szCs w:val="22"/>
        </w:rPr>
        <w:t>(3), 336–341. https://doi.org/10.1037/a0022723</w:t>
      </w:r>
    </w:p>
    <w:p w14:paraId="44B2B46D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>Okan, Y., 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R., Cokely, E. T., &amp; Maldonado, A. (2012). Individual Differences in Graph Literacy: Overcoming Denominator Neglect in Risk Comprehension.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Behavioral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Pr="00607EA1">
        <w:rPr>
          <w:rFonts w:asciiTheme="minorHAnsi" w:hAnsiTheme="minorHAnsi" w:cstheme="minorHAnsi"/>
          <w:sz w:val="22"/>
          <w:szCs w:val="22"/>
        </w:rPr>
        <w:t>(4), 390–401. https://doi.org/10.1002/bdm.751</w:t>
      </w:r>
    </w:p>
    <w:p w14:paraId="16C0A220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Gaissmaier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W.,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Wegwarth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O., Skopec, D., Müller, A. S.,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Broschinski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S., &amp; Politi, M. C. (2012). Numbers can be worth a thousand pictures: Individual differences in understanding graphical and numerical representations of health-related information.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Psychology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31</w:t>
      </w:r>
      <w:r w:rsidRPr="00607EA1">
        <w:rPr>
          <w:rFonts w:asciiTheme="minorHAnsi" w:hAnsiTheme="minorHAnsi" w:cstheme="minorHAnsi"/>
          <w:sz w:val="22"/>
          <w:szCs w:val="22"/>
        </w:rPr>
        <w:t>(3), 286–296. https://doi.org/10.1037/a0024850</w:t>
      </w:r>
    </w:p>
    <w:p w14:paraId="77186802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Witteman, H. O.,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Fuhrel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-Forbis, A., Exe, N. L., Kahn, V. C., &amp; Dickson, M. (2012). Animated graphics for comparing two risks: A cautionary tale.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Medical Internet Research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14</w:t>
      </w:r>
      <w:r w:rsidRPr="00607EA1">
        <w:rPr>
          <w:rFonts w:asciiTheme="minorHAnsi" w:hAnsiTheme="minorHAnsi" w:cstheme="minorHAnsi"/>
          <w:sz w:val="22"/>
          <w:szCs w:val="22"/>
        </w:rPr>
        <w:t>(4), 1–13. https://doi.org/10.2196/jmir.2030</w:t>
      </w:r>
    </w:p>
    <w:p w14:paraId="7E5B1261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Siegler, R. S., Duncan, G. J., Davis-Kean, P. E., Duckworth, K., Claessens, A., Engel, M.,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Susperreguy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M. I., &amp; Chen, M. (2012). Early Predictors of High School Mathematics Achievement.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Psychological Science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23</w:t>
      </w:r>
      <w:r w:rsidRPr="00607EA1">
        <w:rPr>
          <w:rFonts w:asciiTheme="minorHAnsi" w:hAnsiTheme="minorHAnsi" w:cstheme="minorHAnsi"/>
          <w:sz w:val="22"/>
          <w:szCs w:val="22"/>
        </w:rPr>
        <w:t>(7), 691–697. https://doi.org/10.1177/0956797612440101</w:t>
      </w:r>
    </w:p>
    <w:p w14:paraId="06DD049C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lastRenderedPageBreak/>
        <w:t xml:space="preserve">Landy, D., Silbert, N., &amp; Goldin, A. (2013). Estimating large numbers.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Cognitive Science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37</w:t>
      </w:r>
      <w:r w:rsidRPr="00607EA1">
        <w:rPr>
          <w:rFonts w:asciiTheme="minorHAnsi" w:hAnsiTheme="minorHAnsi" w:cstheme="minorHAnsi"/>
          <w:sz w:val="22"/>
          <w:szCs w:val="22"/>
        </w:rPr>
        <w:t>(5), 775–799. https://doi.org/10.1111/cogs.12028</w:t>
      </w:r>
    </w:p>
    <w:p w14:paraId="68068167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Development, O. of E. C. and. (2013). Education at a Glance 2013. In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Education at a Giance</w:t>
      </w:r>
      <w:r w:rsidRPr="00607EA1">
        <w:rPr>
          <w:rFonts w:asciiTheme="minorHAnsi" w:hAnsiTheme="minorHAnsi" w:cstheme="minorHAnsi"/>
          <w:sz w:val="22"/>
          <w:szCs w:val="22"/>
        </w:rPr>
        <w:t>. http://www.oecd-ilibrary.org/docserver/download/4213201e.pdf?expires=1395222439&amp;id=id&amp;accname=guest&amp;checksum=F9C6674E09CE56B8C66B5B09314145B0</w:t>
      </w:r>
    </w:p>
    <w:p w14:paraId="5C9F371D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Shaffer, V. A., Tomek, S., &amp; Hulsey, L. (2014). The Effect of Narrative Information in a Publicly Available Patient Decision Aid for Early-Stage Breast Cancer.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Health Communication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29</w:t>
      </w:r>
      <w:r w:rsidRPr="00607EA1">
        <w:rPr>
          <w:rFonts w:asciiTheme="minorHAnsi" w:hAnsiTheme="minorHAnsi" w:cstheme="minorHAnsi"/>
          <w:sz w:val="22"/>
          <w:szCs w:val="22"/>
        </w:rPr>
        <w:t>(1), 64–73. https://doi.org/10.1080/10410236.2012.717341</w:t>
      </w:r>
    </w:p>
    <w:p w14:paraId="6312468C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>Ng, J. Y. Y., Ntoumanis, N., Thøgersen-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ntoumani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>, C., Deci, E. L., Ryan, R. M., Duda, J. L., Williams, G. C., Ng, J. Y. Y., Ntoumanis, N., Thøgersen-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ntoumani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C., Deci, E. L., Ryan, R. M., Duda, J. L., &amp; Williams, G. C. (2014).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Perspectives on Psychological Science</w:t>
      </w:r>
      <w:r w:rsidRPr="00607EA1">
        <w:rPr>
          <w:rFonts w:asciiTheme="minorHAnsi" w:hAnsiTheme="minorHAnsi" w:cstheme="minorHAnsi"/>
          <w:sz w:val="22"/>
          <w:szCs w:val="22"/>
        </w:rPr>
        <w:t>. 1–58.</w:t>
      </w:r>
    </w:p>
    <w:p w14:paraId="4F296218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Witteman, H. O., Dickson, M.,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Fuhrel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-Forbis, A., Kahn, V. C., Exe, N. L., Valerio, M., Holtzman, L. G., Scherer, L. D., &amp; Fagerlin, A. (2014). Blocks, ovals, or people? Icon type affects risk perceptions and recall of pictographs.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34</w:t>
      </w:r>
      <w:r w:rsidRPr="00607EA1">
        <w:rPr>
          <w:rFonts w:asciiTheme="minorHAnsi" w:hAnsiTheme="minorHAnsi" w:cstheme="minorHAnsi"/>
          <w:sz w:val="22"/>
          <w:szCs w:val="22"/>
        </w:rPr>
        <w:t>(4), 443–453. https://doi.org/10.1177/0272989X13511706</w:t>
      </w:r>
    </w:p>
    <w:p w14:paraId="01A50884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Exe, N. L., &amp; Witteman, H. O. (2014). Numeracy and literacy independently predict patients’ ability to identify out-of-range test results.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Medical Internet Research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16</w:t>
      </w:r>
      <w:r w:rsidRPr="00607EA1">
        <w:rPr>
          <w:rFonts w:asciiTheme="minorHAnsi" w:hAnsiTheme="minorHAnsi" w:cstheme="minorHAnsi"/>
          <w:sz w:val="22"/>
          <w:szCs w:val="22"/>
        </w:rPr>
        <w:t>(8), e187. https://doi.org/10.2196/jmir.3241</w:t>
      </w:r>
    </w:p>
    <w:p w14:paraId="3344629B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Tompkins, M. K. (2015).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The Relations of Objective Numeracy and Subjective Numeracy to Financial Outcomes over Time</w:t>
      </w:r>
      <w:r w:rsidRPr="00607EA1">
        <w:rPr>
          <w:rFonts w:asciiTheme="minorHAnsi" w:hAnsiTheme="minorHAnsi" w:cstheme="minorHAnsi"/>
          <w:sz w:val="22"/>
          <w:szCs w:val="22"/>
        </w:rPr>
        <w:t>. https://medium.com/@arifwicaksanaa/pengertian-use-case-a7e576e1b6bf</w:t>
      </w:r>
    </w:p>
    <w:p w14:paraId="6187A60E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proofErr w:type="spellStart"/>
      <w:r w:rsidRPr="00607EA1">
        <w:rPr>
          <w:rFonts w:asciiTheme="minorHAnsi" w:hAnsiTheme="minorHAnsi" w:cstheme="minorHAnsi"/>
          <w:sz w:val="22"/>
          <w:szCs w:val="22"/>
        </w:rPr>
        <w:t>Gakumo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C. A., Raper, J. L., Cerice, D. K., Stand-Gravois, M. J., &amp; Mugavero, M. J. (2016). A Qualitative Study on Health Numeracy and Patient–Provider Communication of Laboratory Numbers in Older African Americans with HIV.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the Association of Nurses in AIDS Care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27</w:t>
      </w:r>
      <w:r w:rsidRPr="00607EA1">
        <w:rPr>
          <w:rFonts w:asciiTheme="minorHAnsi" w:hAnsiTheme="minorHAnsi" w:cstheme="minorHAnsi"/>
          <w:sz w:val="22"/>
          <w:szCs w:val="22"/>
        </w:rPr>
        <w:t>(6), 826–834. https://doi.org/10.1016/j.jana.2016.06.003</w:t>
      </w:r>
    </w:p>
    <w:p w14:paraId="2BFA52F2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Davis, D. E., Choe, E., Meyers, J., Wade, N., Varjas, K., Gifford, A., Quinn, A., Hook, J. N., Van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Tongeren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D. R., Griffin, B. J., &amp; Worthington, E. L. (2016). Thankful for the little things: A meta-analysis of gratitude interventions.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Counseling Psychology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63</w:t>
      </w:r>
      <w:r w:rsidRPr="00607EA1">
        <w:rPr>
          <w:rFonts w:asciiTheme="minorHAnsi" w:hAnsiTheme="minorHAnsi" w:cstheme="minorHAnsi"/>
          <w:sz w:val="22"/>
          <w:szCs w:val="22"/>
        </w:rPr>
        <w:t>(1), 20–31. https://doi.org/10.1037/cou0000107</w:t>
      </w:r>
    </w:p>
    <w:p w14:paraId="3D4CE6A1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Zikmund-fisher, B. J., Scherer, A. M., Witteman, H. O., Solomon, J. B., Exe, N. L., Tarini, B. A., &amp; Fagerlin, A. (2017). Graphics help patients distinguish between urgent and non-urgent deviations in laboratory test results.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the American Medical Informatics Association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24</w:t>
      </w:r>
      <w:r w:rsidRPr="00607EA1">
        <w:rPr>
          <w:rFonts w:asciiTheme="minorHAnsi" w:hAnsiTheme="minorHAnsi" w:cstheme="minorHAnsi"/>
          <w:sz w:val="22"/>
          <w:szCs w:val="22"/>
        </w:rPr>
        <w:t>(3), 520–528. https://doi.org/10.1093/jamia/ocw169</w:t>
      </w:r>
    </w:p>
    <w:p w14:paraId="4A388ABA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>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R., &amp; Cokely, E. T. (2017). Designing Visual AIDS That Promote Risk Literacy: A Systematic Review of Health Research and Evidence-Based Design Heuristics.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Human Factors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59</w:t>
      </w:r>
      <w:r w:rsidRPr="00607EA1">
        <w:rPr>
          <w:rFonts w:asciiTheme="minorHAnsi" w:hAnsiTheme="minorHAnsi" w:cstheme="minorHAnsi"/>
          <w:sz w:val="22"/>
          <w:szCs w:val="22"/>
        </w:rPr>
        <w:t>(4), 582–627. https://doi.org/10.1177/0018720817690634</w:t>
      </w:r>
    </w:p>
    <w:p w14:paraId="762ECC0C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lastRenderedPageBreak/>
        <w:t xml:space="preserve">Petrova, D.,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Kostopoulou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>, O., Delaney, B. C., Cokely, E. T., &amp; 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 (2018). Strengths and Gaps in Physicians’ Risk Communication: A Scenario Study of the Influence of Numeracy on Cancer Screening Communication.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38</w:t>
      </w:r>
      <w:r w:rsidRPr="00607EA1">
        <w:rPr>
          <w:rFonts w:asciiTheme="minorHAnsi" w:hAnsiTheme="minorHAnsi" w:cstheme="minorHAnsi"/>
          <w:sz w:val="22"/>
          <w:szCs w:val="22"/>
        </w:rPr>
        <w:t>(3), 355–365. https://doi.org/10.1177/0272989X17729359</w:t>
      </w:r>
    </w:p>
    <w:p w14:paraId="7C56D753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Jonas, N. (2018). Numeracy Practices and Numeracy Skills Among Adults.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OECD Education Working Paper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177</w:t>
      </w:r>
      <w:r w:rsidRPr="00607EA1">
        <w:rPr>
          <w:rFonts w:asciiTheme="minorHAnsi" w:hAnsiTheme="minorHAnsi" w:cstheme="minorHAnsi"/>
          <w:sz w:val="22"/>
          <w:szCs w:val="22"/>
        </w:rPr>
        <w:t>, 83. files/2179/Jonas - NUMERACY PRACTICES AND NUMERACY SKILLS AMONG ADULT.pdf</w:t>
      </w:r>
    </w:p>
    <w:p w14:paraId="2A8F8BCE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Schapira, M. M., Fletcher, K. E., Ganschow, P. S., Jacobs, E. A., Walker, C. M., Smallwood, A. J., Gil, D.,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Faghri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A., Kong, A. L., Yen, T. W., McDunn, S., Marcus, E., &amp; Neuner, J. M. (2019). Improving Communication in Breast Cancer Treatment Consultation: Use of a Computer Test of Health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Women’s Health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28</w:t>
      </w:r>
      <w:r w:rsidRPr="00607EA1">
        <w:rPr>
          <w:rFonts w:asciiTheme="minorHAnsi" w:hAnsiTheme="minorHAnsi" w:cstheme="minorHAnsi"/>
          <w:sz w:val="22"/>
          <w:szCs w:val="22"/>
        </w:rPr>
        <w:t>(10), 1407–1417. https://doi.org/10.1089/jwh.2018.7347</w:t>
      </w:r>
    </w:p>
    <w:p w14:paraId="5FF33307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Peters, E., Tompkins, M. K., Knoll, M. A. Z., Ardoin, S. P., Shoots-Reinhard, B., &amp; Meara, A. S. (2019). Despite high objective numeracy, lower numeric confidence relates to worse financial and medical outcomes.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Proceedings of the National Academy of Sciences of the United States of America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116</w:t>
      </w:r>
      <w:r w:rsidRPr="00607EA1">
        <w:rPr>
          <w:rFonts w:asciiTheme="minorHAnsi" w:hAnsiTheme="minorHAnsi" w:cstheme="minorHAnsi"/>
          <w:sz w:val="22"/>
          <w:szCs w:val="22"/>
        </w:rPr>
        <w:t>(39), 19386–19391. https://doi.org/10.1073/pnas.1903126116</w:t>
      </w:r>
    </w:p>
    <w:p w14:paraId="0FF9818A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>Garcia-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Retamero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R.,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Sobkow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A., Petrova, D., Garrido, D., &amp; Traczyk, J. (2019). Numeracy and Risk Literacy: What Have We Learned so Far?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Spanish Journal of Psychology</w:t>
      </w:r>
      <w:r w:rsidRPr="00607EA1">
        <w:rPr>
          <w:rFonts w:asciiTheme="minorHAnsi" w:hAnsiTheme="minorHAnsi" w:cstheme="minorHAnsi"/>
          <w:sz w:val="22"/>
          <w:szCs w:val="22"/>
        </w:rPr>
        <w:t>, 1–11. https://doi.org/10.1017/sjp.2019.16</w:t>
      </w:r>
    </w:p>
    <w:p w14:paraId="71EB577B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Rolison, J. J.,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Morsanyi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K., &amp; Peters, E. (2020). Understanding Health Risk Comprehension: The Role of Math Anxiety, Subjective Numeracy, and Objective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Medical Decision Making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40</w:t>
      </w:r>
      <w:r w:rsidRPr="00607EA1">
        <w:rPr>
          <w:rFonts w:asciiTheme="minorHAnsi" w:hAnsiTheme="minorHAnsi" w:cstheme="minorHAnsi"/>
          <w:sz w:val="22"/>
          <w:szCs w:val="22"/>
        </w:rPr>
        <w:t>(2), 222–234. https://doi.org/10.1177/0272989X20904725</w:t>
      </w:r>
    </w:p>
    <w:p w14:paraId="6C880D68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Van Hoof, J.,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Verschaffel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L., De Neys, W., &amp; Van Dooren, W. (2020). Intuitive errors in learners’ fraction understanding: A dual-process perspective on the natural number bias.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Memory and Cognition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48</w:t>
      </w:r>
      <w:r w:rsidRPr="00607EA1">
        <w:rPr>
          <w:rFonts w:asciiTheme="minorHAnsi" w:hAnsiTheme="minorHAnsi" w:cstheme="minorHAnsi"/>
          <w:sz w:val="22"/>
          <w:szCs w:val="22"/>
        </w:rPr>
        <w:t>(7), 1171–1180. https://doi.org/10.3758/s13421-020-01045-1</w:t>
      </w:r>
    </w:p>
    <w:p w14:paraId="3A773535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Persson, E., Andersson, D., Koppel, L.,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Västfjäll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D., &amp; </w:t>
      </w:r>
      <w:proofErr w:type="spellStart"/>
      <w:r w:rsidRPr="00607EA1">
        <w:rPr>
          <w:rFonts w:asciiTheme="minorHAnsi" w:hAnsiTheme="minorHAnsi" w:cstheme="minorHAnsi"/>
          <w:sz w:val="22"/>
          <w:szCs w:val="22"/>
        </w:rPr>
        <w:t>Tinghög</w:t>
      </w:r>
      <w:proofErr w:type="spellEnd"/>
      <w:r w:rsidRPr="00607EA1">
        <w:rPr>
          <w:rFonts w:asciiTheme="minorHAnsi" w:hAnsiTheme="minorHAnsi" w:cstheme="minorHAnsi"/>
          <w:sz w:val="22"/>
          <w:szCs w:val="22"/>
        </w:rPr>
        <w:t xml:space="preserve">, G. (2021). A preregistered replication of motivated numeracy.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Cognition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214</w:t>
      </w:r>
      <w:r w:rsidRPr="00607EA1">
        <w:rPr>
          <w:rFonts w:asciiTheme="minorHAnsi" w:hAnsiTheme="minorHAnsi" w:cstheme="minorHAnsi"/>
          <w:sz w:val="22"/>
          <w:szCs w:val="22"/>
        </w:rPr>
        <w:t>(May). https://doi.org/10.1016/j.cognition.2021.104768</w:t>
      </w:r>
    </w:p>
    <w:p w14:paraId="0A4117C9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Peters, E. M. (2021). Reflections on innumeracy in the wild.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Numeracy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14</w:t>
      </w:r>
      <w:r w:rsidRPr="00607EA1">
        <w:rPr>
          <w:rFonts w:asciiTheme="minorHAnsi" w:hAnsiTheme="minorHAnsi" w:cstheme="minorHAnsi"/>
          <w:sz w:val="22"/>
          <w:szCs w:val="22"/>
        </w:rPr>
        <w:t>(1), 1–10. https://doi.org/10.5038/1936-4660.14.1.1379</w:t>
      </w:r>
    </w:p>
    <w:p w14:paraId="7E3A3236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Thompson, C. A., Taber, J. M., Fitzsimmons, C. J., &amp; Sidney, P. G. (2021). Math predictors of numeric health and non-health decision-making problems.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Journal of Numerical Cognition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7</w:t>
      </w:r>
      <w:r w:rsidRPr="00607EA1">
        <w:rPr>
          <w:rFonts w:asciiTheme="minorHAnsi" w:hAnsiTheme="minorHAnsi" w:cstheme="minorHAnsi"/>
          <w:sz w:val="22"/>
          <w:szCs w:val="22"/>
        </w:rPr>
        <w:t>(2), 221–239. https://doi.org/10.5964/jnc.6545</w:t>
      </w:r>
    </w:p>
    <w:p w14:paraId="19A54AAA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Peters, E., Boyd, P., Cameron, L. D., Contractor, N., Diefenbach, M. A., Fleszar-Pavlovic, S., Markowitz, E., Salas, R. N., &amp; Stephens, K. K. (2022). Evidence-based recommendations for </w:t>
      </w:r>
      <w:r w:rsidRPr="00607EA1">
        <w:rPr>
          <w:rFonts w:asciiTheme="minorHAnsi" w:hAnsiTheme="minorHAnsi" w:cstheme="minorHAnsi"/>
          <w:sz w:val="22"/>
          <w:szCs w:val="22"/>
        </w:rPr>
        <w:lastRenderedPageBreak/>
        <w:t xml:space="preserve">communicating the impacts of climate change on health.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Translational Behavioral Medicine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12</w:t>
      </w:r>
      <w:r w:rsidRPr="00607EA1">
        <w:rPr>
          <w:rFonts w:asciiTheme="minorHAnsi" w:hAnsiTheme="minorHAnsi" w:cstheme="minorHAnsi"/>
          <w:sz w:val="22"/>
          <w:szCs w:val="22"/>
        </w:rPr>
        <w:t>(4), 543–553. https://doi.org/10.1093/tbm/ibac029</w:t>
      </w:r>
    </w:p>
    <w:p w14:paraId="752E17C6" w14:textId="77777777" w:rsidR="00607EA1" w:rsidRPr="00607EA1" w:rsidRDefault="00607EA1" w:rsidP="00607EA1">
      <w:pPr>
        <w:pStyle w:val="NormalWeb"/>
        <w:ind w:left="480" w:hanging="480"/>
        <w:rPr>
          <w:rFonts w:asciiTheme="minorHAnsi" w:hAnsiTheme="minorHAnsi" w:cstheme="minorHAnsi"/>
          <w:sz w:val="22"/>
          <w:szCs w:val="22"/>
        </w:rPr>
      </w:pPr>
      <w:r w:rsidRPr="00607EA1">
        <w:rPr>
          <w:rFonts w:asciiTheme="minorHAnsi" w:hAnsiTheme="minorHAnsi" w:cstheme="minorHAnsi"/>
          <w:sz w:val="22"/>
          <w:szCs w:val="22"/>
        </w:rPr>
        <w:t xml:space="preserve">Peters, E., &amp; Salas, R. N. (2022). Communicating Statistics on the Health Effects of Climate Change.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New England Journal of Medicine</w:t>
      </w:r>
      <w:r w:rsidRPr="00607EA1">
        <w:rPr>
          <w:rFonts w:asciiTheme="minorHAnsi" w:hAnsiTheme="minorHAnsi" w:cstheme="minorHAnsi"/>
          <w:sz w:val="22"/>
          <w:szCs w:val="22"/>
        </w:rPr>
        <w:t xml:space="preserve">, </w:t>
      </w:r>
      <w:r w:rsidRPr="00607EA1">
        <w:rPr>
          <w:rFonts w:asciiTheme="minorHAnsi" w:hAnsiTheme="minorHAnsi" w:cstheme="minorHAnsi"/>
          <w:i/>
          <w:iCs/>
          <w:sz w:val="22"/>
          <w:szCs w:val="22"/>
        </w:rPr>
        <w:t>387</w:t>
      </w:r>
      <w:r w:rsidRPr="00607EA1">
        <w:rPr>
          <w:rFonts w:asciiTheme="minorHAnsi" w:hAnsiTheme="minorHAnsi" w:cstheme="minorHAnsi"/>
          <w:sz w:val="22"/>
          <w:szCs w:val="22"/>
        </w:rPr>
        <w:t>(3), 193–196. https://doi.org/10.1056/NEJMp2201801</w:t>
      </w:r>
    </w:p>
    <w:p w14:paraId="6144E577" w14:textId="77777777" w:rsidR="00607EA1" w:rsidRPr="00607EA1" w:rsidRDefault="00607EA1" w:rsidP="00543832">
      <w:pPr>
        <w:rPr>
          <w:rFonts w:cstheme="minorHAnsi"/>
        </w:rPr>
      </w:pPr>
    </w:p>
    <w:sectPr w:rsidR="00607EA1" w:rsidRPr="00607E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56306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54EE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37E64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1E6C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DBC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07E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57D3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4F9F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30B2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6C3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1F2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8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E6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07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F1A68-0BC0-4BCE-BA93-77945F085B61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9D73-FEA6-48D8-BF94-ECE6683B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Duan, Sean</cp:lastModifiedBy>
  <cp:revision>10</cp:revision>
  <dcterms:created xsi:type="dcterms:W3CDTF">2022-07-25T20:33:00Z</dcterms:created>
  <dcterms:modified xsi:type="dcterms:W3CDTF">2022-11-01T17:59:00Z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d341e94e-eb15-3ff4-8b97-99273080d222</vt:lpwstr>
  </property>
</Properties>
</file>