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4673D733" w:rsidR="00243C38" w:rsidRPr="00337E64" w:rsidRDefault="00EC6701" w:rsidP="00543832">
      <w:pPr>
        <w:rPr>
          <w:rFonts w:cstheme="minorHAnsi"/>
          <w:sz w:val="24"/>
          <w:szCs w:val="24"/>
        </w:rPr>
      </w:pPr>
      <w:r w:rsidRPr="00337E64">
        <w:rPr>
          <w:rFonts w:cstheme="minorHAnsi"/>
          <w:sz w:val="24"/>
          <w:szCs w:val="24"/>
        </w:rPr>
        <w:t xml:space="preserve">Topic </w:t>
      </w:r>
      <w:r w:rsidR="003E5DBC" w:rsidRPr="00337E64">
        <w:rPr>
          <w:rFonts w:cstheme="minorHAnsi"/>
          <w:sz w:val="24"/>
          <w:szCs w:val="24"/>
        </w:rPr>
        <w:t xml:space="preserve">1: Numeracy </w:t>
      </w:r>
      <w:r w:rsidR="00337E64">
        <w:rPr>
          <w:rFonts w:cstheme="minorHAnsi"/>
          <w:sz w:val="24"/>
          <w:szCs w:val="24"/>
        </w:rPr>
        <w:t xml:space="preserve">and Risk Communication </w:t>
      </w:r>
      <w:r w:rsidR="003E5DBC" w:rsidRPr="00337E64">
        <w:rPr>
          <w:rFonts w:cstheme="minorHAnsi"/>
          <w:sz w:val="24"/>
          <w:szCs w:val="24"/>
        </w:rPr>
        <w:t>with</w:t>
      </w:r>
      <w:r w:rsidRPr="00337E64">
        <w:rPr>
          <w:rFonts w:cstheme="minorHAnsi"/>
          <w:sz w:val="24"/>
          <w:szCs w:val="24"/>
        </w:rPr>
        <w:t xml:space="preserve"> Dr. Victoria Shaffer</w:t>
      </w:r>
    </w:p>
    <w:p w14:paraId="4F89407F" w14:textId="7447E5F7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Ciampa, P. J., Osborn, C. Y., Peterson, N. B., &amp; Rothman, R. L. (2010). Patient numeracy, perceptions of provider communication, and colorectal cancer screening utilization. </w:t>
      </w:r>
      <w:r w:rsidRPr="00337E64">
        <w:rPr>
          <w:rFonts w:asciiTheme="minorHAnsi" w:hAnsiTheme="minorHAnsi" w:cstheme="minorHAnsi"/>
          <w:i/>
          <w:iCs/>
        </w:rPr>
        <w:t>Journal of Health Communication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15</w:t>
      </w:r>
      <w:r w:rsidRPr="00337E64">
        <w:rPr>
          <w:rFonts w:asciiTheme="minorHAnsi" w:hAnsiTheme="minorHAnsi" w:cstheme="minorHAnsi"/>
        </w:rPr>
        <w:t xml:space="preserve">(SUPPL. 3), 157–168. </w:t>
      </w:r>
      <w:hyperlink r:id="rId6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https://doi.org/10.1080/10810730.2010.522699</w:t>
        </w:r>
      </w:hyperlink>
    </w:p>
    <w:p w14:paraId="08FB761C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F7C2592" w14:textId="138FE09D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Gakumo, C. A., Raper, J. L., Cerice, D. K., Stand-Gravois, M. J., &amp; Mugavero, M. J. (2016). A Qualitative Study on Health Numeracy and Patient–Provider Communication of Laboratory Numbers in Older African Americans with HIV. </w:t>
      </w:r>
      <w:r w:rsidRPr="00337E64">
        <w:rPr>
          <w:rFonts w:asciiTheme="minorHAnsi" w:hAnsiTheme="minorHAnsi" w:cstheme="minorHAnsi"/>
          <w:i/>
          <w:iCs/>
        </w:rPr>
        <w:t>Journal of the Association of Nurses in AIDS Care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27</w:t>
      </w:r>
      <w:r w:rsidRPr="00337E64">
        <w:rPr>
          <w:rFonts w:asciiTheme="minorHAnsi" w:hAnsiTheme="minorHAnsi" w:cstheme="minorHAnsi"/>
        </w:rPr>
        <w:t xml:space="preserve">(6), 826–834. </w:t>
      </w:r>
      <w:hyperlink r:id="rId7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https://doi.org/10.1016/j.jana.2016.06.003</w:t>
        </w:r>
      </w:hyperlink>
    </w:p>
    <w:p w14:paraId="11AF6453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38BA3F49" w14:textId="054BA73A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Galesic, M., &amp; Garcia-Retamero, R. (2011). Do Low-Numeracy People Avoid Shared Decision Making? </w:t>
      </w:r>
      <w:r w:rsidRPr="00337E64">
        <w:rPr>
          <w:rFonts w:asciiTheme="minorHAnsi" w:hAnsiTheme="minorHAnsi" w:cstheme="minorHAnsi"/>
          <w:i/>
          <w:iCs/>
        </w:rPr>
        <w:t>Health Psychology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30</w:t>
      </w:r>
      <w:r w:rsidRPr="00337E64">
        <w:rPr>
          <w:rFonts w:asciiTheme="minorHAnsi" w:hAnsiTheme="minorHAnsi" w:cstheme="minorHAnsi"/>
        </w:rPr>
        <w:t xml:space="preserve">(3), 336–341. </w:t>
      </w:r>
      <w:hyperlink r:id="rId8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https://doi.org/10.1037/a0022723</w:t>
        </w:r>
      </w:hyperlink>
    </w:p>
    <w:p w14:paraId="587BE782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C1AA6EA" w14:textId="26EB9E1F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Galesic, M., Garcia-Retamero, R., &amp; Gigerenzer, G. (2009). Using Icon Arrays to Communicate Medical Risks: Overcoming Low Numeracy. </w:t>
      </w:r>
      <w:r w:rsidRPr="00337E64">
        <w:rPr>
          <w:rFonts w:asciiTheme="minorHAnsi" w:hAnsiTheme="minorHAnsi" w:cstheme="minorHAnsi"/>
          <w:i/>
          <w:iCs/>
        </w:rPr>
        <w:t>Health Psychology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28</w:t>
      </w:r>
      <w:r w:rsidRPr="00337E64">
        <w:rPr>
          <w:rFonts w:asciiTheme="minorHAnsi" w:hAnsiTheme="minorHAnsi" w:cstheme="minorHAnsi"/>
        </w:rPr>
        <w:t xml:space="preserve">(2), 210–216. </w:t>
      </w:r>
      <w:hyperlink r:id="rId9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https://doi.org/10.1037/a0014474</w:t>
        </w:r>
      </w:hyperlink>
    </w:p>
    <w:p w14:paraId="0F8E8DB1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05823F38" w14:textId="2BB6C5CE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Garcia-Retamero, R., &amp; Galesic, M. (2009). Communicating treatment risk reduction to people with low numeracy skills: A cross-cultural comparison. </w:t>
      </w:r>
      <w:r w:rsidRPr="00337E64">
        <w:rPr>
          <w:rFonts w:asciiTheme="minorHAnsi" w:hAnsiTheme="minorHAnsi" w:cstheme="minorHAnsi"/>
          <w:i/>
          <w:iCs/>
        </w:rPr>
        <w:t>American Journal of Public Health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99</w:t>
      </w:r>
      <w:r w:rsidRPr="00337E64">
        <w:rPr>
          <w:rFonts w:asciiTheme="minorHAnsi" w:hAnsiTheme="minorHAnsi" w:cstheme="minorHAnsi"/>
        </w:rPr>
        <w:t xml:space="preserve">(12), 2196–2202. </w:t>
      </w:r>
      <w:hyperlink r:id="rId10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https://doi.org/10.2105/AJPH.2009.160234</w:t>
        </w:r>
      </w:hyperlink>
    </w:p>
    <w:p w14:paraId="6C295F1B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70C00382" w14:textId="260CE078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Hess, R., Visschers, V. H. M., Siegrist, M., &amp; Keller, C. (2011). How do people perceive graphical risk communication? the role of subjective numeracy. </w:t>
      </w:r>
      <w:r w:rsidRPr="00337E64">
        <w:rPr>
          <w:rFonts w:asciiTheme="minorHAnsi" w:hAnsiTheme="minorHAnsi" w:cstheme="minorHAnsi"/>
          <w:i/>
          <w:iCs/>
        </w:rPr>
        <w:t>Journal of Risk Research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14</w:t>
      </w:r>
      <w:r w:rsidRPr="00337E64">
        <w:rPr>
          <w:rFonts w:asciiTheme="minorHAnsi" w:hAnsiTheme="minorHAnsi" w:cstheme="minorHAnsi"/>
        </w:rPr>
        <w:t xml:space="preserve">(1), 47–61. </w:t>
      </w:r>
      <w:hyperlink r:id="rId11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https://doi.org/10.1080/13669877.2010.488745</w:t>
        </w:r>
      </w:hyperlink>
    </w:p>
    <w:p w14:paraId="26AA6C57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11538CF6" w14:textId="64C842A0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Jonas, N. (2018). Numeracy Practices and Numeracy Skills Among Adults. </w:t>
      </w:r>
      <w:r w:rsidRPr="00337E64">
        <w:rPr>
          <w:rFonts w:asciiTheme="minorHAnsi" w:hAnsiTheme="minorHAnsi" w:cstheme="minorHAnsi"/>
          <w:i/>
          <w:iCs/>
        </w:rPr>
        <w:t>OECD Education Working Paper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177</w:t>
      </w:r>
      <w:r w:rsidRPr="00337E64">
        <w:rPr>
          <w:rFonts w:asciiTheme="minorHAnsi" w:hAnsiTheme="minorHAnsi" w:cstheme="minorHAnsi"/>
        </w:rPr>
        <w:t>, 83. files/2179/Jonas - NUMERACY PRACTICES AND NUMERACY SKILLS AMONG ADULT.pdf</w:t>
      </w:r>
    </w:p>
    <w:p w14:paraId="71B0F3A6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4D538139" w14:textId="0D0C688B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Keller, C., &amp; Siegrist, M. (2009). Effect of risk communication formats on risk perception depending on numeracy. </w:t>
      </w:r>
      <w:r w:rsidRPr="00337E64">
        <w:rPr>
          <w:rFonts w:asciiTheme="minorHAnsi" w:hAnsiTheme="minorHAnsi" w:cstheme="minorHAnsi"/>
          <w:i/>
          <w:iCs/>
        </w:rPr>
        <w:t>Medical Decision Making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29</w:t>
      </w:r>
      <w:r w:rsidRPr="00337E64">
        <w:rPr>
          <w:rFonts w:asciiTheme="minorHAnsi" w:hAnsiTheme="minorHAnsi" w:cstheme="minorHAnsi"/>
        </w:rPr>
        <w:t xml:space="preserve">(4), 483–490. </w:t>
      </w:r>
      <w:hyperlink r:id="rId12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https://doi.org/10.1177/0272989X09333122</w:t>
        </w:r>
      </w:hyperlink>
    </w:p>
    <w:p w14:paraId="4C58ADE3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179148F7" w14:textId="06E670C3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Estrada, C. (1999). Health Literacy and Numeracy. In </w:t>
      </w:r>
      <w:r w:rsidRPr="00337E64">
        <w:rPr>
          <w:rFonts w:asciiTheme="minorHAnsi" w:hAnsiTheme="minorHAnsi" w:cstheme="minorHAnsi"/>
          <w:i/>
          <w:iCs/>
        </w:rPr>
        <w:t>JAMA: The Journal of the American Medical Association</w:t>
      </w:r>
      <w:r w:rsidRPr="00337E64">
        <w:rPr>
          <w:rFonts w:asciiTheme="minorHAnsi" w:hAnsiTheme="minorHAnsi" w:cstheme="minorHAnsi"/>
        </w:rPr>
        <w:t xml:space="preserve"> (Vol. 282, Issue 6). </w:t>
      </w:r>
      <w:hyperlink r:id="rId13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https://doi.org/10.1001/jama.282.6.527</w:t>
        </w:r>
      </w:hyperlink>
    </w:p>
    <w:p w14:paraId="07DD245B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3BA8FCBB" w14:textId="72F4C566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Persson, E., Andersson, D., Koppel, L., Västfjäll, D., &amp; Tinghög, G. (2021). A preregistered replication of motivated numeracy. </w:t>
      </w:r>
      <w:r w:rsidRPr="00337E64">
        <w:rPr>
          <w:rFonts w:asciiTheme="minorHAnsi" w:hAnsiTheme="minorHAnsi" w:cstheme="minorHAnsi"/>
          <w:i/>
          <w:iCs/>
        </w:rPr>
        <w:t>Cognition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214</w:t>
      </w:r>
      <w:r w:rsidRPr="00337E64">
        <w:rPr>
          <w:rFonts w:asciiTheme="minorHAnsi" w:hAnsiTheme="minorHAnsi" w:cstheme="minorHAnsi"/>
        </w:rPr>
        <w:t xml:space="preserve">(May). </w:t>
      </w:r>
      <w:hyperlink r:id="rId14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https://doi.org/10.1016/j.cognition.2021.104768</w:t>
        </w:r>
      </w:hyperlink>
    </w:p>
    <w:p w14:paraId="7C9619B2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CF452F8" w14:textId="7BDC31BE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Peters, E., Hibbard, J., Slovic, P., &amp; Dieckmann, N. (2007). Numeracy skill and the communication, comprehension, and use of risk-benefit information. </w:t>
      </w:r>
      <w:r w:rsidRPr="00337E64">
        <w:rPr>
          <w:rFonts w:asciiTheme="minorHAnsi" w:hAnsiTheme="minorHAnsi" w:cstheme="minorHAnsi"/>
          <w:i/>
          <w:iCs/>
        </w:rPr>
        <w:t>Health Affairs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26</w:t>
      </w:r>
      <w:r w:rsidRPr="00337E64">
        <w:rPr>
          <w:rFonts w:asciiTheme="minorHAnsi" w:hAnsiTheme="minorHAnsi" w:cstheme="minorHAnsi"/>
        </w:rPr>
        <w:t xml:space="preserve">(3), 741–748. </w:t>
      </w:r>
      <w:hyperlink r:id="rId15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https://doi.org/10.1377/hlthaff.26.3.741</w:t>
        </w:r>
      </w:hyperlink>
    </w:p>
    <w:p w14:paraId="7488BC14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241FE769" w14:textId="267A01E9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Petrova, D., Kostopoulou, O., Delaney, B. C., Cokely, E. T., &amp; Garcia-Retamero, R. (2018). Strengths and Gaps in Physicians’ Risk Communication: A Scenario Study of the Influence of Numeracy on Cancer Screening Communication. </w:t>
      </w:r>
      <w:r w:rsidRPr="00337E64">
        <w:rPr>
          <w:rFonts w:asciiTheme="minorHAnsi" w:hAnsiTheme="minorHAnsi" w:cstheme="minorHAnsi"/>
          <w:i/>
          <w:iCs/>
        </w:rPr>
        <w:t>Medical Decision Making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38</w:t>
      </w:r>
      <w:r w:rsidRPr="00337E64">
        <w:rPr>
          <w:rFonts w:asciiTheme="minorHAnsi" w:hAnsiTheme="minorHAnsi" w:cstheme="minorHAnsi"/>
        </w:rPr>
        <w:t xml:space="preserve">(3), 355–365. </w:t>
      </w:r>
      <w:hyperlink r:id="rId16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https://doi.org/10.1177/0272989X17729359</w:t>
        </w:r>
      </w:hyperlink>
    </w:p>
    <w:p w14:paraId="5E9F7DF6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76FD6F86" w14:textId="7F1882EA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Peters, E. M. (2021). Reflections on innumeracy in the wild. </w:t>
      </w:r>
      <w:r w:rsidRPr="00337E64">
        <w:rPr>
          <w:rFonts w:asciiTheme="minorHAnsi" w:hAnsiTheme="minorHAnsi" w:cstheme="minorHAnsi"/>
          <w:i/>
          <w:iCs/>
        </w:rPr>
        <w:t>Numeracy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14</w:t>
      </w:r>
      <w:r w:rsidRPr="00337E64">
        <w:rPr>
          <w:rFonts w:asciiTheme="minorHAnsi" w:hAnsiTheme="minorHAnsi" w:cstheme="minorHAnsi"/>
        </w:rPr>
        <w:t xml:space="preserve">(1), 1–10. </w:t>
      </w:r>
      <w:hyperlink r:id="rId17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https://doi.org/10.5038/1936-4660.14.1.1379</w:t>
        </w:r>
      </w:hyperlink>
    </w:p>
    <w:p w14:paraId="7BD936AF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73AC5359" w14:textId="1A9EF7FC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Rolison, J. J., Morsanyi, K., &amp; Peters, E. (2020). Understanding Health Risk Comprehension: The Role of Math Anxiety, Subjective Numeracy, and Objective Numeracy. </w:t>
      </w:r>
      <w:r w:rsidRPr="00337E64">
        <w:rPr>
          <w:rFonts w:asciiTheme="minorHAnsi" w:hAnsiTheme="minorHAnsi" w:cstheme="minorHAnsi"/>
          <w:i/>
          <w:iCs/>
        </w:rPr>
        <w:t>Medical Decision Making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40</w:t>
      </w:r>
      <w:r w:rsidRPr="00337E64">
        <w:rPr>
          <w:rFonts w:asciiTheme="minorHAnsi" w:hAnsiTheme="minorHAnsi" w:cstheme="minorHAnsi"/>
        </w:rPr>
        <w:t xml:space="preserve">(2), 222–234. </w:t>
      </w:r>
      <w:hyperlink r:id="rId18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https://doi.org/10.1177/0272989X20904725</w:t>
        </w:r>
      </w:hyperlink>
    </w:p>
    <w:p w14:paraId="6BC922B8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35067E49" w14:textId="1A038FC3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lastRenderedPageBreak/>
        <w:t xml:space="preserve">Sawe, N., Chafe, C., &amp; Treviño, J. (2020). Using Data Sonification to Overcome Science Literacy, Numeracy, and Visualization Barriers in Science Communication. </w:t>
      </w:r>
      <w:r w:rsidRPr="00337E64">
        <w:rPr>
          <w:rFonts w:asciiTheme="minorHAnsi" w:hAnsiTheme="minorHAnsi" w:cstheme="minorHAnsi"/>
          <w:i/>
          <w:iCs/>
        </w:rPr>
        <w:t>Frontiers in Communication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5</w:t>
      </w:r>
      <w:r w:rsidRPr="00337E64">
        <w:rPr>
          <w:rFonts w:asciiTheme="minorHAnsi" w:hAnsiTheme="minorHAnsi" w:cstheme="minorHAnsi"/>
        </w:rPr>
        <w:t xml:space="preserve">(July), 1–7. </w:t>
      </w:r>
      <w:hyperlink r:id="rId19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https://doi.org/10.3389/fcomm.2020.00046</w:t>
        </w:r>
      </w:hyperlink>
    </w:p>
    <w:p w14:paraId="38F13553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5278139" w14:textId="62BC33F9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Schapira, M. M., Fletcher, K. E., Ganschow, P. S., Jacobs, E. A., Walker, C. M., Smallwood, A. J., Gil, D., Faghri, A., Kong, A. L., Yen, T. W., McDunn, S., Marcus, E., &amp; Neuner, J. M. (2019). Improving Communication in Breast Cancer Treatment Consultation: Use of a Computer Test of Health Numeracy. </w:t>
      </w:r>
      <w:r w:rsidRPr="00337E64">
        <w:rPr>
          <w:rFonts w:asciiTheme="minorHAnsi" w:hAnsiTheme="minorHAnsi" w:cstheme="minorHAnsi"/>
          <w:i/>
          <w:iCs/>
        </w:rPr>
        <w:t>Journal of Women’s Health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28</w:t>
      </w:r>
      <w:r w:rsidRPr="00337E64">
        <w:rPr>
          <w:rFonts w:asciiTheme="minorHAnsi" w:hAnsiTheme="minorHAnsi" w:cstheme="minorHAnsi"/>
        </w:rPr>
        <w:t xml:space="preserve">(10), 1407–1417. </w:t>
      </w:r>
      <w:hyperlink r:id="rId20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https://doi.org/10.1089/jwh.2018.7347</w:t>
        </w:r>
      </w:hyperlink>
    </w:p>
    <w:p w14:paraId="71EFA751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67954537" w14:textId="2D93D5B3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Shaffer, V. A., Tomek, S., &amp; Hulsey, L. (2014). The Effect of Narrative Information in a Publicly Available Patient Decision Aid for Early-Stage Breast Cancer. </w:t>
      </w:r>
      <w:r w:rsidRPr="00337E64">
        <w:rPr>
          <w:rFonts w:asciiTheme="minorHAnsi" w:hAnsiTheme="minorHAnsi" w:cstheme="minorHAnsi"/>
          <w:i/>
          <w:iCs/>
        </w:rPr>
        <w:t>Health Communication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29</w:t>
      </w:r>
      <w:r w:rsidRPr="00337E64">
        <w:rPr>
          <w:rFonts w:asciiTheme="minorHAnsi" w:hAnsiTheme="minorHAnsi" w:cstheme="minorHAnsi"/>
        </w:rPr>
        <w:t xml:space="preserve">(1), 64–73. </w:t>
      </w:r>
      <w:hyperlink r:id="rId21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https://doi.org/10.1080/10410236.2012.717341</w:t>
        </w:r>
      </w:hyperlink>
    </w:p>
    <w:p w14:paraId="79ECBE0B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648D4331" w14:textId="5A13B22B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Thompson, C. A., Taber, J. M., Fitzsimmons, C. J., &amp; Sidney, P. G. (2021). Math predictors of numeric health and non-health decision-making problems. </w:t>
      </w:r>
      <w:r w:rsidRPr="00337E64">
        <w:rPr>
          <w:rFonts w:asciiTheme="minorHAnsi" w:hAnsiTheme="minorHAnsi" w:cstheme="minorHAnsi"/>
          <w:i/>
          <w:iCs/>
        </w:rPr>
        <w:t>Journal of Numerical Cognition</w:t>
      </w:r>
      <w:r w:rsidRPr="00337E64">
        <w:rPr>
          <w:rFonts w:asciiTheme="minorHAnsi" w:hAnsiTheme="minorHAnsi" w:cstheme="minorHAnsi"/>
        </w:rPr>
        <w:t xml:space="preserve">, </w:t>
      </w:r>
      <w:r w:rsidRPr="00337E64">
        <w:rPr>
          <w:rFonts w:asciiTheme="minorHAnsi" w:hAnsiTheme="minorHAnsi" w:cstheme="minorHAnsi"/>
          <w:i/>
          <w:iCs/>
        </w:rPr>
        <w:t>7</w:t>
      </w:r>
      <w:r w:rsidRPr="00337E64">
        <w:rPr>
          <w:rFonts w:asciiTheme="minorHAnsi" w:hAnsiTheme="minorHAnsi" w:cstheme="minorHAnsi"/>
        </w:rPr>
        <w:t xml:space="preserve">(2), 221–239. </w:t>
      </w:r>
      <w:hyperlink r:id="rId22" w:history="1">
        <w:r w:rsidR="00D831F2" w:rsidRPr="00337E64">
          <w:rPr>
            <w:rStyle w:val="Hyperlink"/>
            <w:rFonts w:asciiTheme="minorHAnsi" w:hAnsiTheme="minorHAnsi" w:cstheme="minorHAnsi"/>
          </w:rPr>
          <w:t>https://doi.org/10.5964/jnc.6545</w:t>
        </w:r>
      </w:hyperlink>
    </w:p>
    <w:p w14:paraId="444D2261" w14:textId="77777777" w:rsidR="00D831F2" w:rsidRPr="00337E64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1A57A471" w14:textId="04E1FD93" w:rsidR="000954EE" w:rsidRPr="00337E64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37E64">
        <w:rPr>
          <w:rFonts w:asciiTheme="minorHAnsi" w:hAnsiTheme="minorHAnsi" w:cstheme="minorHAnsi"/>
        </w:rPr>
        <w:t xml:space="preserve">Ng, J. Y. Y., Ntoumanis, N., Thøgersen-ntoumani, C., Deci, E. L., Ryan, R. M., Duda, J. L., Williams, G. C., Ng, J. Y. Y., Ntoumanis, N., Thøgersen-ntoumani, C., Deci, E. L., Ryan, R. M., Duda, J. L., &amp; Williams, G. C. (2014). </w:t>
      </w:r>
      <w:r w:rsidRPr="00337E64">
        <w:rPr>
          <w:rFonts w:asciiTheme="minorHAnsi" w:hAnsiTheme="minorHAnsi" w:cstheme="minorHAnsi"/>
          <w:i/>
          <w:iCs/>
        </w:rPr>
        <w:t>Perspectives on Psychological Science</w:t>
      </w:r>
      <w:r w:rsidRPr="00337E64">
        <w:rPr>
          <w:rFonts w:asciiTheme="minorHAnsi" w:hAnsiTheme="minorHAnsi" w:cstheme="minorHAnsi"/>
        </w:rPr>
        <w:t>. 1–58.</w:t>
      </w:r>
    </w:p>
    <w:p w14:paraId="04D85F6F" w14:textId="676C4C51" w:rsidR="003E5DBC" w:rsidRPr="00337E64" w:rsidRDefault="000954EE" w:rsidP="000954EE">
      <w:pPr>
        <w:ind w:left="432" w:hanging="432"/>
        <w:rPr>
          <w:rFonts w:cstheme="minorHAnsi"/>
          <w:sz w:val="24"/>
          <w:szCs w:val="24"/>
        </w:rPr>
      </w:pPr>
      <w:r w:rsidRPr="00337E64">
        <w:rPr>
          <w:rFonts w:cstheme="minorHAnsi"/>
          <w:sz w:val="24"/>
          <w:szCs w:val="24"/>
        </w:rPr>
        <w:t>Peters, E. (2020). Innumeracy in the wild: Misunderstanding and misusing numbers. Oxford University Press.</w:t>
      </w:r>
    </w:p>
    <w:p w14:paraId="40B89F1C" w14:textId="05BCCD4B" w:rsidR="00337E64" w:rsidRPr="00337E64" w:rsidRDefault="00337E64" w:rsidP="000954EE">
      <w:pPr>
        <w:ind w:left="432" w:hanging="432"/>
        <w:rPr>
          <w:rFonts w:cstheme="minorHAnsi"/>
          <w:sz w:val="24"/>
          <w:szCs w:val="24"/>
        </w:rPr>
      </w:pPr>
    </w:p>
    <w:p w14:paraId="0D9A1A1C" w14:textId="76281221" w:rsid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Fagerlin, A., Zikmund-Fisher, B. J., &amp; Ubel, P. A. (2011). Helping patients decide: Ten steps to better risk communication.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Journal of the National Cancer Institute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103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(19), 1436–1443. </w:t>
      </w:r>
      <w:hyperlink r:id="rId23" w:history="1">
        <w:r w:rsidRPr="00337E64">
          <w:rPr>
            <w:rStyle w:val="Hyperlink"/>
            <w:rFonts w:eastAsia="Times New Roman" w:cstheme="minorHAnsi"/>
            <w:sz w:val="24"/>
            <w:szCs w:val="24"/>
            <w:lang w:eastAsia="en-US"/>
          </w:rPr>
          <w:t>https://doi.org/10.1093/jnci/djr318</w:t>
        </w:r>
      </w:hyperlink>
    </w:p>
    <w:p w14:paraId="57C63E99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6BE86150" w14:textId="14738DD4" w:rsid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Gaissmaier, W., Wegwarth, O., Skopec, D., Müller, A. S., Broschinski, S., &amp; Politi, M. C. (2012). Numbers can be worth a thousand pictures: Individual differences in </w:t>
      </w:r>
      <w:r w:rsidRPr="00337E64">
        <w:rPr>
          <w:rFonts w:eastAsia="Times New Roman" w:cstheme="minorHAnsi"/>
          <w:sz w:val="24"/>
          <w:szCs w:val="24"/>
          <w:lang w:eastAsia="en-US"/>
        </w:rPr>
        <w:lastRenderedPageBreak/>
        <w:t xml:space="preserve">understanding graphical and numerical representations of health-related information.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Health Psychology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31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(3), 286–296. </w:t>
      </w:r>
      <w:hyperlink r:id="rId24" w:history="1">
        <w:r w:rsidRPr="00337E64">
          <w:rPr>
            <w:rStyle w:val="Hyperlink"/>
            <w:rFonts w:eastAsia="Times New Roman" w:cstheme="minorHAnsi"/>
            <w:sz w:val="24"/>
            <w:szCs w:val="24"/>
            <w:lang w:eastAsia="en-US"/>
          </w:rPr>
          <w:t>https://doi.org/10.1037/a0024850</w:t>
        </w:r>
      </w:hyperlink>
    </w:p>
    <w:p w14:paraId="07EF4C7B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455B8E40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Peters, E., &amp; Salas, R. N. (2022). Communicating Statistics on the Health Effects of Climate Change.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New England Journal of Medicine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387</w:t>
      </w:r>
      <w:r w:rsidRPr="00337E64">
        <w:rPr>
          <w:rFonts w:eastAsia="Times New Roman" w:cstheme="minorHAnsi"/>
          <w:sz w:val="24"/>
          <w:szCs w:val="24"/>
          <w:lang w:eastAsia="en-US"/>
        </w:rPr>
        <w:t>(3), 193–196. https://doi.org/10.1056/NEJMp2201801</w:t>
      </w:r>
    </w:p>
    <w:p w14:paraId="46621BF5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4C4C482E" w14:textId="464C4B4E" w:rsid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Peters, E., Boyd, P., Cameron, L. D., Contractor, N., Diefenbach, M. A., Fleszar-Pavlovic, S., Markowitz, E., Salas, R. N., &amp; Stephens, K. K. (2022). Evidence-based recommendations for communicating the impacts of climate change on health.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Translational Behavioral Medicine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12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(4), 543–553. </w:t>
      </w:r>
      <w:hyperlink r:id="rId25" w:history="1">
        <w:r w:rsidRPr="00337E64">
          <w:rPr>
            <w:rStyle w:val="Hyperlink"/>
            <w:rFonts w:eastAsia="Times New Roman" w:cstheme="minorHAnsi"/>
            <w:sz w:val="24"/>
            <w:szCs w:val="24"/>
            <w:lang w:eastAsia="en-US"/>
          </w:rPr>
          <w:t>https://doi.org/10.1093/tbm/ibac029</w:t>
        </w:r>
      </w:hyperlink>
    </w:p>
    <w:p w14:paraId="456D3A0E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56D27ABB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Zikmund-Fisher, B. J., Fagerlin, A., &amp; Ubel, P. A. (2010). Risky feelings: Why a 6% risk of cancer does not always feel like 6%.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Patient Education and Counseling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81</w:t>
      </w:r>
      <w:r w:rsidRPr="00337E64">
        <w:rPr>
          <w:rFonts w:eastAsia="Times New Roman" w:cstheme="minorHAnsi"/>
          <w:sz w:val="24"/>
          <w:szCs w:val="24"/>
          <w:lang w:eastAsia="en-US"/>
        </w:rPr>
        <w:t>(1), S87–S93. https://doi.org/10.1016/j.pec.2010.07.041</w:t>
      </w:r>
    </w:p>
    <w:p w14:paraId="40627A0A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515A97B6" w14:textId="64BA622C" w:rsid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Zikmund-Fisher, B. J., Dickson, M., &amp; Witteman, H. O. (2011). Cool but counterproductive: Interactive, web-based risk communications can backfire.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Journal of Medical Internet Research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13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(3), 1–11. </w:t>
      </w:r>
      <w:hyperlink r:id="rId26" w:history="1">
        <w:r w:rsidRPr="00337E64">
          <w:rPr>
            <w:rStyle w:val="Hyperlink"/>
            <w:rFonts w:eastAsia="Times New Roman" w:cstheme="minorHAnsi"/>
            <w:sz w:val="24"/>
            <w:szCs w:val="24"/>
            <w:lang w:eastAsia="en-US"/>
          </w:rPr>
          <w:t>https://doi.org/10.2196/jmir.1665</w:t>
        </w:r>
      </w:hyperlink>
    </w:p>
    <w:p w14:paraId="4A2D678D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1B7B08D2" w14:textId="27A0C259" w:rsid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Zikmund-Fisher, B. J., Witteman, H. O., Fuhrel-Forbis, A., Exe, N. L., Kahn, V. C., &amp; Dickson, M. (2012). Animated graphics for comparing two risks: A cautionary tale.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Journal of Medical Internet Research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14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(4), 1–13. </w:t>
      </w:r>
      <w:hyperlink r:id="rId27" w:history="1">
        <w:r w:rsidRPr="00337E64">
          <w:rPr>
            <w:rStyle w:val="Hyperlink"/>
            <w:rFonts w:eastAsia="Times New Roman" w:cstheme="minorHAnsi"/>
            <w:sz w:val="24"/>
            <w:szCs w:val="24"/>
            <w:lang w:eastAsia="en-US"/>
          </w:rPr>
          <w:t>https://doi.org/10.2196/jmir.2030</w:t>
        </w:r>
      </w:hyperlink>
    </w:p>
    <w:p w14:paraId="030D39D2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5A0E22C0" w14:textId="45C3E4B0" w:rsid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Zikmund-Fisher, B. J., Exe, N. L., &amp; Witteman, H. O. (2014). Numeracy and literacy independently predict patients’ ability to identify out-of-range test results.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Journal of Medical Internet Research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16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(8), e187. </w:t>
      </w:r>
      <w:hyperlink r:id="rId28" w:history="1">
        <w:r w:rsidRPr="00337E64">
          <w:rPr>
            <w:rStyle w:val="Hyperlink"/>
            <w:rFonts w:eastAsia="Times New Roman" w:cstheme="minorHAnsi"/>
            <w:sz w:val="24"/>
            <w:szCs w:val="24"/>
            <w:lang w:eastAsia="en-US"/>
          </w:rPr>
          <w:t>https://doi.org/10.2196/jmir.3241</w:t>
        </w:r>
      </w:hyperlink>
    </w:p>
    <w:p w14:paraId="288D7AEB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6B57FE02" w14:textId="5CF269F4" w:rsid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lastRenderedPageBreak/>
        <w:t xml:space="preserve">Zikmund-Fisher, B. J., Witteman, H. O., Dickson, M., Fuhrel-Forbis, A., Kahn, V. C., Exe, N. L., Valerio, M., Holtzman, L. G., Scherer, L. D., &amp; Fagerlin, A. (2014). Blocks, ovals, or people? Icon type affects risk perceptions and recall of pictographs.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Medical Decision Making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34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(4), 443–453. </w:t>
      </w:r>
      <w:hyperlink r:id="rId29" w:history="1">
        <w:r w:rsidRPr="00337E64">
          <w:rPr>
            <w:rStyle w:val="Hyperlink"/>
            <w:rFonts w:eastAsia="Times New Roman" w:cstheme="minorHAnsi"/>
            <w:sz w:val="24"/>
            <w:szCs w:val="24"/>
            <w:lang w:eastAsia="en-US"/>
          </w:rPr>
          <w:t>https://doi.org/10.1177/0272989X13511706</w:t>
        </w:r>
      </w:hyperlink>
    </w:p>
    <w:p w14:paraId="7C131F3F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</w:p>
    <w:p w14:paraId="29B87FE6" w14:textId="77777777" w:rsidR="00337E64" w:rsidRPr="00337E64" w:rsidRDefault="00337E64" w:rsidP="00337E64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337E64">
        <w:rPr>
          <w:rFonts w:eastAsia="Times New Roman" w:cstheme="minorHAnsi"/>
          <w:sz w:val="24"/>
          <w:szCs w:val="24"/>
          <w:lang w:eastAsia="en-US"/>
        </w:rPr>
        <w:t xml:space="preserve">Zikmund-fisher, B. J., Scherer, A. M., Witteman, H. O., Solomon, J. B., Exe, N. L., Tarini, B. A., &amp; Fagerlin, A. (2017). Graphics help patients distinguish between urgent and non-urgent deviations in laboratory test results.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Journal of the American Medical Informatics Association</w:t>
      </w:r>
      <w:r w:rsidRPr="00337E64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337E64">
        <w:rPr>
          <w:rFonts w:eastAsia="Times New Roman" w:cstheme="minorHAnsi"/>
          <w:i/>
          <w:iCs/>
          <w:sz w:val="24"/>
          <w:szCs w:val="24"/>
          <w:lang w:eastAsia="en-US"/>
        </w:rPr>
        <w:t>24</w:t>
      </w:r>
      <w:r w:rsidRPr="00337E64">
        <w:rPr>
          <w:rFonts w:eastAsia="Times New Roman" w:cstheme="minorHAnsi"/>
          <w:sz w:val="24"/>
          <w:szCs w:val="24"/>
          <w:lang w:eastAsia="en-US"/>
        </w:rPr>
        <w:t>(3), 520–528. https://doi.org/10.1093/jamia/ocw169</w:t>
      </w:r>
    </w:p>
    <w:p w14:paraId="371C5ABD" w14:textId="77777777" w:rsidR="00337E64" w:rsidRPr="00337E64" w:rsidRDefault="00337E64" w:rsidP="000954EE">
      <w:pPr>
        <w:ind w:left="432" w:hanging="432"/>
        <w:rPr>
          <w:rFonts w:cstheme="minorHAnsi"/>
          <w:sz w:val="24"/>
          <w:szCs w:val="24"/>
        </w:rPr>
      </w:pPr>
    </w:p>
    <w:sectPr w:rsidR="00337E64" w:rsidRPr="00337E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a0022723" TargetMode="External"/><Relationship Id="rId13" Type="http://schemas.openxmlformats.org/officeDocument/2006/relationships/hyperlink" Target="https://doi.org/10.1001/jama.282.6.527" TargetMode="External"/><Relationship Id="rId18" Type="http://schemas.openxmlformats.org/officeDocument/2006/relationships/hyperlink" Target="https://doi.org/10.1177/0272989X20904725" TargetMode="External"/><Relationship Id="rId26" Type="http://schemas.openxmlformats.org/officeDocument/2006/relationships/hyperlink" Target="https://doi.org/10.2196/jmir.166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80/10410236.2012.717341" TargetMode="External"/><Relationship Id="rId7" Type="http://schemas.openxmlformats.org/officeDocument/2006/relationships/hyperlink" Target="https://doi.org/10.1016/j.jana.2016.06.003" TargetMode="External"/><Relationship Id="rId12" Type="http://schemas.openxmlformats.org/officeDocument/2006/relationships/hyperlink" Target="https://doi.org/10.1177/0272989X09333122" TargetMode="External"/><Relationship Id="rId17" Type="http://schemas.openxmlformats.org/officeDocument/2006/relationships/hyperlink" Target="https://doi.org/10.5038/1936-4660.14.1.1379" TargetMode="External"/><Relationship Id="rId25" Type="http://schemas.openxmlformats.org/officeDocument/2006/relationships/hyperlink" Target="https://doi.org/10.1093/tbm/ibac0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72989X17729359" TargetMode="External"/><Relationship Id="rId20" Type="http://schemas.openxmlformats.org/officeDocument/2006/relationships/hyperlink" Target="https://doi.org/10.1089/jwh.2018.7347" TargetMode="External"/><Relationship Id="rId29" Type="http://schemas.openxmlformats.org/officeDocument/2006/relationships/hyperlink" Target="https://doi.org/10.1177/0272989X1351170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10810730.2010.522699" TargetMode="External"/><Relationship Id="rId11" Type="http://schemas.openxmlformats.org/officeDocument/2006/relationships/hyperlink" Target="https://doi.org/10.1080/13669877.2010.488745" TargetMode="External"/><Relationship Id="rId24" Type="http://schemas.openxmlformats.org/officeDocument/2006/relationships/hyperlink" Target="https://doi.org/10.1037/a00248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377/hlthaff.26.3.741" TargetMode="External"/><Relationship Id="rId23" Type="http://schemas.openxmlformats.org/officeDocument/2006/relationships/hyperlink" Target="https://doi.org/10.1093/jnci/djr318" TargetMode="External"/><Relationship Id="rId28" Type="http://schemas.openxmlformats.org/officeDocument/2006/relationships/hyperlink" Target="https://doi.org/10.2196/jmir.3241" TargetMode="External"/><Relationship Id="rId10" Type="http://schemas.openxmlformats.org/officeDocument/2006/relationships/hyperlink" Target="https://doi.org/10.2105/AJPH.2009.160234" TargetMode="External"/><Relationship Id="rId19" Type="http://schemas.openxmlformats.org/officeDocument/2006/relationships/hyperlink" Target="https://doi.org/10.3389/fcomm.2020.0004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037/a0014474" TargetMode="External"/><Relationship Id="rId14" Type="http://schemas.openxmlformats.org/officeDocument/2006/relationships/hyperlink" Target="https://doi.org/10.1016/j.cognition.2021.104768" TargetMode="External"/><Relationship Id="rId22" Type="http://schemas.openxmlformats.org/officeDocument/2006/relationships/hyperlink" Target="https://doi.org/10.5964/jnc.6545" TargetMode="External"/><Relationship Id="rId27" Type="http://schemas.openxmlformats.org/officeDocument/2006/relationships/hyperlink" Target="https://doi.org/10.2196/jmir.203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9</cp:revision>
  <dcterms:created xsi:type="dcterms:W3CDTF">2022-07-25T20:33:00Z</dcterms:created>
  <dcterms:modified xsi:type="dcterms:W3CDTF">2022-08-12T21:36:00Z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