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proofErr w:type="spellStart"/>
      <w:r>
        <w:rPr>
          <w:sz w:val="24"/>
          <w:szCs w:val="24"/>
        </w:rPr>
        <w:t>Lvl</w:t>
      </w:r>
      <w:proofErr w:type="spellEnd"/>
      <w:r>
        <w:rPr>
          <w:sz w:val="24"/>
          <w:szCs w:val="24"/>
        </w:rPr>
        <w:t xml:space="preserve">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 xml:space="preserve">The balance of positive and negative emotions has been shown to be indicative of individual judgements of subjective </w:t>
      </w:r>
      <w:proofErr w:type="spellStart"/>
      <w:r>
        <w:rPr>
          <w:sz w:val="24"/>
          <w:szCs w:val="24"/>
        </w:rPr>
        <w:t>well being</w:t>
      </w:r>
      <w:proofErr w:type="spellEnd"/>
      <w:r>
        <w:rPr>
          <w:sz w:val="24"/>
          <w:szCs w:val="24"/>
        </w:rPr>
        <w:t>.</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proofErr w:type="spellStart"/>
      <w:r>
        <w:rPr>
          <w:sz w:val="24"/>
          <w:szCs w:val="24"/>
        </w:rPr>
        <w:t>Lvl</w:t>
      </w:r>
      <w:proofErr w:type="spellEnd"/>
      <w:r>
        <w:rPr>
          <w:sz w:val="24"/>
          <w:szCs w:val="24"/>
        </w:rPr>
        <w:t xml:space="preserve">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 xml:space="preserve">Affect is WITHIN emotions, sure, but also within other phenomena, </w:t>
      </w:r>
      <w:proofErr w:type="spellStart"/>
      <w:r>
        <w:rPr>
          <w:sz w:val="24"/>
          <w:szCs w:val="24"/>
        </w:rPr>
        <w:t>suich</w:t>
      </w:r>
      <w:proofErr w:type="spellEnd"/>
      <w:r>
        <w:rPr>
          <w:sz w:val="24"/>
          <w:szCs w:val="24"/>
        </w:rPr>
        <w:t xml:space="preserve">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 xml:space="preserve">Emotions are seen as brief and engage the </w:t>
      </w:r>
      <w:proofErr w:type="gramStart"/>
      <w:r>
        <w:rPr>
          <w:sz w:val="24"/>
          <w:szCs w:val="24"/>
        </w:rPr>
        <w:t>multiple-systems</w:t>
      </w:r>
      <w:proofErr w:type="gramEnd"/>
      <w:r>
        <w:rPr>
          <w:sz w:val="24"/>
          <w:szCs w:val="24"/>
        </w:rPr>
        <w:t xml:space="preserve">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 xml:space="preserve">Emotions fit into categories like fear, anger, joy, </w:t>
      </w:r>
      <w:proofErr w:type="gramStart"/>
      <w:r>
        <w:rPr>
          <w:sz w:val="24"/>
          <w:szCs w:val="24"/>
        </w:rPr>
        <w:t>etc. ,</w:t>
      </w:r>
      <w:proofErr w:type="gramEnd"/>
      <w:r>
        <w:rPr>
          <w:sz w:val="24"/>
          <w:szCs w:val="24"/>
        </w:rPr>
        <w:t xml:space="preserve">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proofErr w:type="gramStart"/>
      <w:r>
        <w:rPr>
          <w:sz w:val="24"/>
          <w:szCs w:val="24"/>
        </w:rPr>
        <w:t>Similar to</w:t>
      </w:r>
      <w:proofErr w:type="gramEnd"/>
      <w:r>
        <w:rPr>
          <w:sz w:val="24"/>
          <w:szCs w:val="24"/>
        </w:rPr>
        <w:t xml:space="preserve">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proofErr w:type="gramStart"/>
      <w:r>
        <w:rPr>
          <w:sz w:val="24"/>
          <w:szCs w:val="24"/>
        </w:rPr>
        <w:t>Also</w:t>
      </w:r>
      <w:proofErr w:type="gramEnd"/>
      <w:r>
        <w:rPr>
          <w:sz w:val="24"/>
          <w:szCs w:val="24"/>
        </w:rPr>
        <w:t xml:space="preserve">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proofErr w:type="gramStart"/>
      <w:r w:rsidR="00021BF9">
        <w:rPr>
          <w:sz w:val="24"/>
          <w:szCs w:val="24"/>
        </w:rPr>
        <w:t>repertoires’</w:t>
      </w:r>
      <w:proofErr w:type="gramEnd"/>
      <w:r w:rsidR="00021BF9">
        <w:rPr>
          <w:sz w:val="24"/>
          <w:szCs w:val="24"/>
        </w:rPr>
        <w:t xml:space="preserve">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 xml:space="preserve">This is beneficial in emergency </w:t>
      </w:r>
      <w:proofErr w:type="gramStart"/>
      <w:r>
        <w:rPr>
          <w:sz w:val="24"/>
          <w:szCs w:val="24"/>
        </w:rPr>
        <w:t>situations,</w:t>
      </w:r>
      <w:proofErr w:type="gramEnd"/>
      <w:r>
        <w:rPr>
          <w:sz w:val="24"/>
          <w:szCs w:val="24"/>
        </w:rPr>
        <w:t xml:space="preserve">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proofErr w:type="gramStart"/>
      <w:r>
        <w:rPr>
          <w:sz w:val="24"/>
          <w:szCs w:val="24"/>
        </w:rPr>
        <w:t>E.g.</w:t>
      </w:r>
      <w:proofErr w:type="gramEnd"/>
      <w:r>
        <w:rPr>
          <w:sz w:val="24"/>
          <w:szCs w:val="24"/>
        </w:rPr>
        <w:t xml:space="preserve">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 xml:space="preserve">Play builds physical resources, social </w:t>
      </w:r>
      <w:proofErr w:type="gramStart"/>
      <w:r>
        <w:rPr>
          <w:sz w:val="24"/>
          <w:szCs w:val="24"/>
        </w:rPr>
        <w:t>bonds</w:t>
      </w:r>
      <w:proofErr w:type="gramEnd"/>
      <w:r>
        <w:rPr>
          <w:sz w:val="24"/>
          <w:szCs w:val="24"/>
        </w:rPr>
        <w:t xml:space="preserve">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 xml:space="preserve">Since this is a new theory, in this paper, the evidence is primarily indirect support of the model and no </w:t>
      </w:r>
      <w:proofErr w:type="gramStart"/>
      <w:r>
        <w:rPr>
          <w:sz w:val="24"/>
          <w:szCs w:val="24"/>
        </w:rPr>
        <w:t>direct-tests</w:t>
      </w:r>
      <w:proofErr w:type="gramEnd"/>
      <w:r>
        <w:rPr>
          <w:sz w:val="24"/>
          <w:szCs w:val="24"/>
        </w:rPr>
        <w:t xml:space="preserve">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proofErr w:type="gramStart"/>
      <w:r>
        <w:rPr>
          <w:sz w:val="24"/>
          <w:szCs w:val="24"/>
        </w:rPr>
        <w:t>Also</w:t>
      </w:r>
      <w:proofErr w:type="gramEnd"/>
      <w:r>
        <w:rPr>
          <w:sz w:val="24"/>
          <w:szCs w:val="24"/>
        </w:rPr>
        <w:t xml:space="preserve">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 xml:space="preserve">Feeling positive emotions predicts greater psychological health 12 months </w:t>
      </w:r>
      <w:proofErr w:type="spellStart"/>
      <w:r>
        <w:rPr>
          <w:sz w:val="24"/>
          <w:szCs w:val="24"/>
        </w:rPr>
        <w:t>postbereavement</w:t>
      </w:r>
      <w:proofErr w:type="spellEnd"/>
      <w:r>
        <w:rPr>
          <w:sz w:val="24"/>
          <w:szCs w:val="24"/>
        </w:rPr>
        <w: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proofErr w:type="spellStart"/>
      <w:r>
        <w:rPr>
          <w:sz w:val="32"/>
          <w:szCs w:val="32"/>
        </w:rPr>
        <w:lastRenderedPageBreak/>
        <w:t>Cappellen</w:t>
      </w:r>
      <w:proofErr w:type="spellEnd"/>
      <w:r>
        <w:rPr>
          <w:sz w:val="32"/>
          <w:szCs w:val="32"/>
        </w:rPr>
        <w:t xml:space="preserve">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 xml:space="preserve">Nonconscious motives linked to central mechanisms of behavior </w:t>
      </w:r>
      <w:proofErr w:type="spellStart"/>
      <w:r>
        <w:rPr>
          <w:sz w:val="28"/>
          <w:szCs w:val="28"/>
        </w:rPr>
        <w:t>maintence</w:t>
      </w:r>
      <w:proofErr w:type="spellEnd"/>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 xml:space="preserve">In general, when people associate enjoyment w/ engaging in a health behavior, they are more likely to intend to, and </w:t>
      </w:r>
      <w:proofErr w:type="gramStart"/>
      <w:r>
        <w:rPr>
          <w:sz w:val="24"/>
          <w:szCs w:val="24"/>
        </w:rPr>
        <w:t>actually engage</w:t>
      </w:r>
      <w:proofErr w:type="gramEnd"/>
      <w:r>
        <w:rPr>
          <w:sz w:val="24"/>
          <w:szCs w:val="24"/>
        </w:rPr>
        <w:t xml:space="preserv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 xml:space="preserve">Priming w/ positive affect </w:t>
      </w:r>
      <w:proofErr w:type="gramStart"/>
      <w:r>
        <w:rPr>
          <w:sz w:val="24"/>
          <w:szCs w:val="24"/>
        </w:rPr>
        <w:t>lead</w:t>
      </w:r>
      <w:proofErr w:type="gramEnd"/>
      <w:r>
        <w:rPr>
          <w:sz w:val="24"/>
          <w:szCs w:val="24"/>
        </w:rPr>
        <w:t xml:space="preserve">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 xml:space="preserve">Some limiting factors exist that can reduce the amount of pleasant affect from good health behaviors, </w:t>
      </w:r>
      <w:proofErr w:type="gramStart"/>
      <w:r>
        <w:rPr>
          <w:sz w:val="24"/>
          <w:szCs w:val="24"/>
        </w:rPr>
        <w:t>e.g.</w:t>
      </w:r>
      <w:proofErr w:type="gramEnd"/>
      <w:r>
        <w:rPr>
          <w:sz w:val="24"/>
          <w:szCs w:val="24"/>
        </w:rPr>
        <w:t xml:space="preserve">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 xml:space="preserve">Vagal tone was shown to improve after a </w:t>
      </w:r>
      <w:proofErr w:type="gramStart"/>
      <w:r>
        <w:rPr>
          <w:sz w:val="24"/>
          <w:szCs w:val="24"/>
        </w:rPr>
        <w:t>six week</w:t>
      </w:r>
      <w:proofErr w:type="gramEnd"/>
      <w:r>
        <w:rPr>
          <w:sz w:val="24"/>
          <w:szCs w:val="24"/>
        </w:rPr>
        <w:t xml:space="preserve">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 xml:space="preserve">Oxytocin system is similar, as greater exogenous oxytocin increases positive affective reaction, </w:t>
      </w:r>
      <w:proofErr w:type="gramStart"/>
      <w:r>
        <w:rPr>
          <w:sz w:val="24"/>
          <w:szCs w:val="24"/>
        </w:rPr>
        <w:t>and also</w:t>
      </w:r>
      <w:proofErr w:type="gramEnd"/>
      <w:r>
        <w:rPr>
          <w:sz w:val="24"/>
          <w:szCs w:val="24"/>
        </w:rPr>
        <w:t xml:space="preserve">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w:t>
      </w:r>
      <w:proofErr w:type="gramStart"/>
      <w:r>
        <w:rPr>
          <w:sz w:val="24"/>
          <w:szCs w:val="24"/>
        </w:rPr>
        <w:t>as long as</w:t>
      </w:r>
      <w:proofErr w:type="gramEnd"/>
      <w:r>
        <w:rPr>
          <w:sz w:val="24"/>
          <w:szCs w:val="24"/>
        </w:rPr>
        <w:t xml:space="preserve">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 xml:space="preserve">Day to day behaviors often defy </w:t>
      </w:r>
      <w:proofErr w:type="gramStart"/>
      <w:r>
        <w:rPr>
          <w:sz w:val="24"/>
          <w:szCs w:val="24"/>
        </w:rPr>
        <w:t>willpower, and</w:t>
      </w:r>
      <w:proofErr w:type="gramEnd"/>
      <w:r>
        <w:rPr>
          <w:sz w:val="24"/>
          <w:szCs w:val="24"/>
        </w:rPr>
        <w:t xml:space="preserve">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7389B606" w14:textId="1076CF51" w:rsidR="00E669B1" w:rsidRPr="00C6445A" w:rsidRDefault="00E669B1" w:rsidP="00C6445A">
      <w:pPr>
        <w:rPr>
          <w:sz w:val="24"/>
          <w:szCs w:val="24"/>
        </w:rPr>
      </w:pPr>
    </w:p>
    <w:sectPr w:rsidR="00E669B1" w:rsidRPr="00C6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75D0"/>
    <w:rsid w:val="00051084"/>
    <w:rsid w:val="000864C1"/>
    <w:rsid w:val="000C33A5"/>
    <w:rsid w:val="00176177"/>
    <w:rsid w:val="001844D8"/>
    <w:rsid w:val="001859D9"/>
    <w:rsid w:val="001D1B1D"/>
    <w:rsid w:val="001D34A0"/>
    <w:rsid w:val="00234824"/>
    <w:rsid w:val="00236AC9"/>
    <w:rsid w:val="002A0051"/>
    <w:rsid w:val="002B2D33"/>
    <w:rsid w:val="0030113C"/>
    <w:rsid w:val="00347AFB"/>
    <w:rsid w:val="003D2FBC"/>
    <w:rsid w:val="004407C1"/>
    <w:rsid w:val="005016A0"/>
    <w:rsid w:val="005F0F32"/>
    <w:rsid w:val="006B036E"/>
    <w:rsid w:val="006D7CF1"/>
    <w:rsid w:val="00753CBE"/>
    <w:rsid w:val="00787974"/>
    <w:rsid w:val="007B4D9B"/>
    <w:rsid w:val="007F4930"/>
    <w:rsid w:val="009332D9"/>
    <w:rsid w:val="00935338"/>
    <w:rsid w:val="00947A26"/>
    <w:rsid w:val="00973E6E"/>
    <w:rsid w:val="00976BAB"/>
    <w:rsid w:val="009F1FDF"/>
    <w:rsid w:val="00A13BA7"/>
    <w:rsid w:val="00A14A49"/>
    <w:rsid w:val="00AE24CF"/>
    <w:rsid w:val="00B613AB"/>
    <w:rsid w:val="00C27A56"/>
    <w:rsid w:val="00C5474B"/>
    <w:rsid w:val="00C6445A"/>
    <w:rsid w:val="00D35A07"/>
    <w:rsid w:val="00DC15EC"/>
    <w:rsid w:val="00E302EC"/>
    <w:rsid w:val="00E56BD0"/>
    <w:rsid w:val="00E669B1"/>
    <w:rsid w:val="00EB4FD5"/>
    <w:rsid w:val="00F67E99"/>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27</cp:revision>
  <dcterms:created xsi:type="dcterms:W3CDTF">2022-07-28T18:38:00Z</dcterms:created>
  <dcterms:modified xsi:type="dcterms:W3CDTF">2022-08-05T20:59:00Z</dcterms:modified>
</cp:coreProperties>
</file>