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00000"/>
          <w:sz w:val="44"/>
        </w:rPr>
        <w:t>第一年配置方案和建议</w:t>
      </w:r>
    </w:p>
    <w:p>
      <w:pPr>
        <w:spacing w:after="240"/>
      </w:pPr>
      <w:r>
        <w:rPr>
          <w:rFonts w:ascii="Calibri" w:hAnsi="Calibri"/>
          <w:b w:val="0"/>
          <w:color w:val="595959"/>
          <w:sz w:val="24"/>
        </w:rPr>
        <w:t>V2.8.5-QM：最新持仓刷新版 | 2026-06-29 15:10截图</w:t>
      </w:r>
    </w:p>
    <w:p>
      <w:pPr>
        <w:pStyle w:val="Heading1"/>
        <w:spacing w:before="0" w:after="120" w:line="264" w:lineRule="auto"/>
      </w:pPr>
      <w:r>
        <w:rPr>
          <w:rFonts w:ascii="Calibri" w:hAnsi="Calibri"/>
          <w:b w:val="0"/>
          <w:sz w:val="22"/>
        </w:rPr>
        <w:t>账户快照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项目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金额/比例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证券账户总资产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sz w:val="20"/>
              </w:rPr>
              <w:t>104.3万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持仓总市值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sz w:val="20"/>
              </w:rPr>
              <w:t>82.0万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可用资金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sz w:val="20"/>
              </w:rPr>
              <w:t>22.2万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可取资金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sz w:val="20"/>
              </w:rPr>
              <w:t>7.9万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总仓位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sz w:val="20"/>
              </w:rPr>
              <w:t>78.65%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今日盈亏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sz w:val="20"/>
              </w:rPr>
              <w:t>+1.9万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持仓收益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sz w:val="20"/>
              </w:rPr>
              <w:t>-7.2万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0" w:after="120" w:line="264" w:lineRule="auto"/>
      </w:pPr>
      <w:r>
        <w:rPr>
          <w:rFonts w:ascii="Calibri" w:hAnsi="Calibri"/>
          <w:b w:val="0"/>
          <w:sz w:val="22"/>
        </w:rPr>
        <w:t>本次持仓变化后的结论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2"/>
        </w:rPr>
        <w:t>半导体设备ETF持仓升至80,000份，证券账户权重14.74%，已经成为第一大持仓；后续仍按回踩确认纪律复核，不因强势继续追高。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2"/>
        </w:rPr>
        <w:t>中望软件降至297股，遗留仓风险显著收缩；仍只做退出复审，不因反弹恢复加仓资格。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2"/>
        </w:rPr>
        <w:t>红利低波ETF增至53,000份，工商银行与科创医药ETF进入实际持仓；低波现金流和创新药观察层已开始落地。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2"/>
        </w:rPr>
        <w:t>比亚迪仍作为2030战略观察仓，最新市值约8.76万元，处于保守保留仓区间，不做T不追涨。</w:t>
      </w:r>
    </w:p>
    <w:p>
      <w:pPr>
        <w:pStyle w:val="Heading1"/>
        <w:spacing w:before="0" w:after="120" w:line="264" w:lineRule="auto"/>
      </w:pPr>
      <w:r>
        <w:rPr>
          <w:rFonts w:ascii="Calibri" w:hAnsi="Calibri"/>
          <w:b w:val="0"/>
          <w:sz w:val="22"/>
        </w:rPr>
        <w:t>第一年全资产配置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1200"/>
        <w:gridCol w:w="800"/>
        <w:gridCol w:w="1100"/>
        <w:gridCol w:w="1100"/>
        <w:gridCol w:w="1100"/>
        <w:gridCol w:w="1960"/>
      </w:tblGrid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配置项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资产层级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目标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目标金额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当前金额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缺口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状态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半导体设备ETF 159516</w:t>
            </w:r>
          </w:p>
        </w:tc>
        <w:tc>
          <w:tcPr>
            <w:tcW w:type="dxa" w:w="1200"/>
          </w:tcPr>
          <w:p>
            <w:r/>
            <w:r>
              <w:rPr>
                <w:rFonts w:ascii="Calibri" w:hAnsi="Calibri"/>
                <w:sz w:val="20"/>
              </w:rPr>
              <w:t>核心成长</w:t>
            </w:r>
          </w:p>
        </w:tc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10%</w:t>
            </w:r>
          </w:p>
        </w:tc>
        <w:tc>
          <w:tcPr>
            <w:tcW w:type="dxa" w:w="1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47.8万</w:t>
            </w:r>
          </w:p>
        </w:tc>
        <w:tc>
          <w:tcPr>
            <w:tcW w:type="dxa" w:w="1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15.4万</w:t>
            </w:r>
          </w:p>
        </w:tc>
        <w:tc>
          <w:tcPr>
            <w:tcW w:type="dxa" w:w="1100"/>
          </w:tcPr>
          <w:p>
            <w:r/>
            <w:r>
              <w:rPr>
                <w:rFonts w:ascii="Calibri" w:hAnsi="Calibri"/>
                <w:sz w:val="20"/>
              </w:rPr>
              <w:t>32.5万</w:t>
            </w:r>
          </w:p>
        </w:tc>
        <w:tc>
          <w:tcPr>
            <w:tcW w:type="dxa" w:w="1960"/>
          </w:tcPr>
          <w:p>
            <w:r/>
            <w:r>
              <w:rPr>
                <w:rFonts w:ascii="Calibri" w:hAnsi="Calibri"/>
                <w:sz w:val="20"/>
              </w:rPr>
              <w:t>第一核心候选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机器人ETF 562500</w:t>
            </w:r>
          </w:p>
        </w:tc>
        <w:tc>
          <w:tcPr>
            <w:tcW w:type="dxa" w:w="1200"/>
          </w:tcPr>
          <w:p>
            <w:r/>
            <w:r>
              <w:rPr>
                <w:rFonts w:ascii="Calibri" w:hAnsi="Calibri"/>
                <w:sz w:val="20"/>
              </w:rPr>
              <w:t>核心成长</w:t>
            </w:r>
          </w:p>
        </w:tc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8%</w:t>
            </w:r>
          </w:p>
        </w:tc>
        <w:tc>
          <w:tcPr>
            <w:tcW w:type="dxa" w:w="1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38.3万</w:t>
            </w:r>
          </w:p>
        </w:tc>
        <w:tc>
          <w:tcPr>
            <w:tcW w:type="dxa" w:w="1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13.0万</w:t>
            </w:r>
          </w:p>
        </w:tc>
        <w:tc>
          <w:tcPr>
            <w:tcW w:type="dxa" w:w="1100"/>
          </w:tcPr>
          <w:p>
            <w:r/>
            <w:r>
              <w:rPr>
                <w:rFonts w:ascii="Calibri" w:hAnsi="Calibri"/>
                <w:sz w:val="20"/>
              </w:rPr>
              <w:t>25.2万</w:t>
            </w:r>
          </w:p>
        </w:tc>
        <w:tc>
          <w:tcPr>
            <w:tcW w:type="dxa" w:w="1960"/>
          </w:tcPr>
          <w:p>
            <w:r/>
            <w:r>
              <w:rPr>
                <w:rFonts w:ascii="Calibri" w:hAnsi="Calibri"/>
                <w:sz w:val="20"/>
              </w:rPr>
              <w:t>核心持有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创业板人工智能ETF 159381</w:t>
            </w:r>
          </w:p>
        </w:tc>
        <w:tc>
          <w:tcPr>
            <w:tcW w:type="dxa" w:w="1200"/>
          </w:tcPr>
          <w:p>
            <w:r/>
            <w:r>
              <w:rPr>
                <w:rFonts w:ascii="Calibri" w:hAnsi="Calibri"/>
                <w:sz w:val="20"/>
              </w:rPr>
              <w:t>核心成长</w:t>
            </w:r>
          </w:p>
        </w:tc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7%</w:t>
            </w:r>
          </w:p>
        </w:tc>
        <w:tc>
          <w:tcPr>
            <w:tcW w:type="dxa" w:w="1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33.5万</w:t>
            </w:r>
          </w:p>
        </w:tc>
        <w:tc>
          <w:tcPr>
            <w:tcW w:type="dxa" w:w="1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5.6万</w:t>
            </w:r>
          </w:p>
        </w:tc>
        <w:tc>
          <w:tcPr>
            <w:tcW w:type="dxa" w:w="1100"/>
          </w:tcPr>
          <w:p>
            <w:r/>
            <w:r>
              <w:rPr>
                <w:rFonts w:ascii="Calibri" w:hAnsi="Calibri"/>
                <w:sz w:val="20"/>
              </w:rPr>
              <w:t>27.8万</w:t>
            </w:r>
          </w:p>
        </w:tc>
        <w:tc>
          <w:tcPr>
            <w:tcW w:type="dxa" w:w="1960"/>
          </w:tcPr>
          <w:p>
            <w:r/>
            <w:r>
              <w:rPr>
                <w:rFonts w:ascii="Calibri" w:hAnsi="Calibri"/>
                <w:sz w:val="20"/>
              </w:rPr>
              <w:t>AI硬件增强仓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创新药ETF</w:t>
            </w:r>
          </w:p>
        </w:tc>
        <w:tc>
          <w:tcPr>
            <w:tcW w:type="dxa" w:w="1200"/>
          </w:tcPr>
          <w:p>
            <w:r/>
            <w:r>
              <w:rPr>
                <w:rFonts w:ascii="Calibri" w:hAnsi="Calibri"/>
                <w:sz w:val="20"/>
              </w:rPr>
              <w:t>核心观察</w:t>
            </w:r>
          </w:p>
        </w:tc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3%</w:t>
            </w:r>
          </w:p>
        </w:tc>
        <w:tc>
          <w:tcPr>
            <w:tcW w:type="dxa" w:w="1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14.3万</w:t>
            </w:r>
          </w:p>
        </w:tc>
        <w:tc>
          <w:tcPr>
            <w:tcW w:type="dxa" w:w="1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0.5万</w:t>
            </w:r>
          </w:p>
        </w:tc>
        <w:tc>
          <w:tcPr>
            <w:tcW w:type="dxa" w:w="1100"/>
          </w:tcPr>
          <w:p>
            <w:r/>
            <w:r>
              <w:rPr>
                <w:rFonts w:ascii="Calibri" w:hAnsi="Calibri"/>
                <w:sz w:val="20"/>
              </w:rPr>
              <w:t>13.9万</w:t>
            </w:r>
          </w:p>
        </w:tc>
        <w:tc>
          <w:tcPr>
            <w:tcW w:type="dxa" w:w="1960"/>
          </w:tcPr>
          <w:p>
            <w:r/>
            <w:r>
              <w:rPr>
                <w:rFonts w:ascii="Calibri" w:hAnsi="Calibri"/>
                <w:sz w:val="20"/>
              </w:rPr>
              <w:t>待建仓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AI/半导体高质量个股篮子</w:t>
            </w:r>
          </w:p>
        </w:tc>
        <w:tc>
          <w:tcPr>
            <w:tcW w:type="dxa" w:w="1200"/>
          </w:tcPr>
          <w:p>
            <w:r/>
            <w:r>
              <w:rPr>
                <w:rFonts w:ascii="Calibri" w:hAnsi="Calibri"/>
                <w:sz w:val="20"/>
              </w:rPr>
              <w:t>核心成长</w:t>
            </w:r>
          </w:p>
        </w:tc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3%</w:t>
            </w:r>
          </w:p>
        </w:tc>
        <w:tc>
          <w:tcPr>
            <w:tcW w:type="dxa" w:w="1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14.3万</w:t>
            </w:r>
          </w:p>
        </w:tc>
        <w:tc>
          <w:tcPr>
            <w:tcW w:type="dxa" w:w="1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0.0万</w:t>
            </w:r>
          </w:p>
        </w:tc>
        <w:tc>
          <w:tcPr>
            <w:tcW w:type="dxa" w:w="1100"/>
          </w:tcPr>
          <w:p>
            <w:r/>
            <w:r>
              <w:rPr>
                <w:rFonts w:ascii="Calibri" w:hAnsi="Calibri"/>
                <w:sz w:val="20"/>
              </w:rPr>
              <w:t>14.3万</w:t>
            </w:r>
          </w:p>
        </w:tc>
        <w:tc>
          <w:tcPr>
            <w:tcW w:type="dxa" w:w="1960"/>
          </w:tcPr>
          <w:p>
            <w:r/>
            <w:r>
              <w:rPr>
                <w:rFonts w:ascii="Calibri" w:hAnsi="Calibri"/>
                <w:sz w:val="20"/>
              </w:rPr>
              <w:t>长期跟踪池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中证A500ETF</w:t>
            </w:r>
          </w:p>
        </w:tc>
        <w:tc>
          <w:tcPr>
            <w:tcW w:type="dxa" w:w="1200"/>
          </w:tcPr>
          <w:p>
            <w:r/>
            <w:r>
              <w:rPr>
                <w:rFonts w:ascii="Calibri" w:hAnsi="Calibri"/>
                <w:sz w:val="20"/>
              </w:rPr>
              <w:t>低波权益</w:t>
            </w:r>
          </w:p>
        </w:tc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10%</w:t>
            </w:r>
          </w:p>
        </w:tc>
        <w:tc>
          <w:tcPr>
            <w:tcW w:type="dxa" w:w="1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47.8万</w:t>
            </w:r>
          </w:p>
        </w:tc>
        <w:tc>
          <w:tcPr>
            <w:tcW w:type="dxa" w:w="1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10.4万</w:t>
            </w:r>
          </w:p>
        </w:tc>
        <w:tc>
          <w:tcPr>
            <w:tcW w:type="dxa" w:w="1100"/>
          </w:tcPr>
          <w:p>
            <w:r/>
            <w:r>
              <w:rPr>
                <w:rFonts w:ascii="Calibri" w:hAnsi="Calibri"/>
                <w:sz w:val="20"/>
              </w:rPr>
              <w:t>37.4万</w:t>
            </w:r>
          </w:p>
        </w:tc>
        <w:tc>
          <w:tcPr>
            <w:tcW w:type="dxa" w:w="1960"/>
          </w:tcPr>
          <w:p>
            <w:r/>
            <w:r>
              <w:rPr>
                <w:rFonts w:ascii="Calibri" w:hAnsi="Calibri"/>
                <w:sz w:val="20"/>
              </w:rPr>
              <w:t>低波权益底仓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红利低波ETF</w:t>
            </w:r>
          </w:p>
        </w:tc>
        <w:tc>
          <w:tcPr>
            <w:tcW w:type="dxa" w:w="1200"/>
          </w:tcPr>
          <w:p>
            <w:r/>
            <w:r>
              <w:rPr>
                <w:rFonts w:ascii="Calibri" w:hAnsi="Calibri"/>
                <w:sz w:val="20"/>
              </w:rPr>
              <w:t>低波权益</w:t>
            </w:r>
          </w:p>
        </w:tc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5%</w:t>
            </w:r>
          </w:p>
        </w:tc>
        <w:tc>
          <w:tcPr>
            <w:tcW w:type="dxa" w:w="1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23.9万</w:t>
            </w:r>
          </w:p>
        </w:tc>
        <w:tc>
          <w:tcPr>
            <w:tcW w:type="dxa" w:w="1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5.8万</w:t>
            </w:r>
          </w:p>
        </w:tc>
        <w:tc>
          <w:tcPr>
            <w:tcW w:type="dxa" w:w="1100"/>
          </w:tcPr>
          <w:p>
            <w:r/>
            <w:r>
              <w:rPr>
                <w:rFonts w:ascii="Calibri" w:hAnsi="Calibri"/>
                <w:sz w:val="20"/>
              </w:rPr>
              <w:t>18.1万</w:t>
            </w:r>
          </w:p>
        </w:tc>
        <w:tc>
          <w:tcPr>
            <w:tcW w:type="dxa" w:w="1960"/>
          </w:tcPr>
          <w:p>
            <w:r/>
            <w:r>
              <w:rPr>
                <w:rFonts w:ascii="Calibri" w:hAnsi="Calibri"/>
                <w:sz w:val="20"/>
              </w:rPr>
              <w:t>红利低波ETF底仓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长期稳定分红个股篮子</w:t>
            </w:r>
          </w:p>
        </w:tc>
        <w:tc>
          <w:tcPr>
            <w:tcW w:type="dxa" w:w="1200"/>
          </w:tcPr>
          <w:p>
            <w:r/>
            <w:r>
              <w:rPr>
                <w:rFonts w:ascii="Calibri" w:hAnsi="Calibri"/>
                <w:sz w:val="20"/>
              </w:rPr>
              <w:t>低波现金流</w:t>
            </w:r>
          </w:p>
        </w:tc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5%</w:t>
            </w:r>
          </w:p>
        </w:tc>
        <w:tc>
          <w:tcPr>
            <w:tcW w:type="dxa" w:w="1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23.9万</w:t>
            </w:r>
          </w:p>
        </w:tc>
        <w:tc>
          <w:tcPr>
            <w:tcW w:type="dxa" w:w="1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0.7万</w:t>
            </w:r>
          </w:p>
        </w:tc>
        <w:tc>
          <w:tcPr>
            <w:tcW w:type="dxa" w:w="1100"/>
          </w:tcPr>
          <w:p>
            <w:r/>
            <w:r>
              <w:rPr>
                <w:rFonts w:ascii="Calibri" w:hAnsi="Calibri"/>
                <w:sz w:val="20"/>
              </w:rPr>
              <w:t>23.2万</w:t>
            </w:r>
          </w:p>
        </w:tc>
        <w:tc>
          <w:tcPr>
            <w:tcW w:type="dxa" w:w="1960"/>
          </w:tcPr>
          <w:p>
            <w:r/>
            <w:r>
              <w:rPr>
                <w:rFonts w:ascii="Calibri" w:hAnsi="Calibri"/>
                <w:sz w:val="20"/>
              </w:rPr>
              <w:t>红利现金流个股观察池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可转债ETF</w:t>
            </w:r>
          </w:p>
        </w:tc>
        <w:tc>
          <w:tcPr>
            <w:tcW w:type="dxa" w:w="1200"/>
          </w:tcPr>
          <w:p>
            <w:r/>
            <w:r>
              <w:rPr>
                <w:rFonts w:ascii="Calibri" w:hAnsi="Calibri"/>
                <w:sz w:val="20"/>
              </w:rPr>
              <w:t>弹性低波</w:t>
            </w:r>
          </w:p>
        </w:tc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10%</w:t>
            </w:r>
          </w:p>
        </w:tc>
        <w:tc>
          <w:tcPr>
            <w:tcW w:type="dxa" w:w="1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47.8万</w:t>
            </w:r>
          </w:p>
        </w:tc>
        <w:tc>
          <w:tcPr>
            <w:tcW w:type="dxa" w:w="1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3.8万</w:t>
            </w:r>
          </w:p>
        </w:tc>
        <w:tc>
          <w:tcPr>
            <w:tcW w:type="dxa" w:w="1100"/>
          </w:tcPr>
          <w:p>
            <w:r/>
            <w:r>
              <w:rPr>
                <w:rFonts w:ascii="Calibri" w:hAnsi="Calibri"/>
                <w:sz w:val="20"/>
              </w:rPr>
              <w:t>44.1万</w:t>
            </w:r>
          </w:p>
        </w:tc>
        <w:tc>
          <w:tcPr>
            <w:tcW w:type="dxa" w:w="1960"/>
          </w:tcPr>
          <w:p>
            <w:r/>
            <w:r>
              <w:rPr>
                <w:rFonts w:ascii="Calibri" w:hAnsi="Calibri"/>
                <w:sz w:val="20"/>
              </w:rPr>
              <w:t>弹性低波配置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现金/货基/国债ETF/逆回购</w:t>
            </w:r>
          </w:p>
        </w:tc>
        <w:tc>
          <w:tcPr>
            <w:tcW w:type="dxa" w:w="1200"/>
          </w:tcPr>
          <w:p>
            <w:r/>
            <w:r>
              <w:rPr>
                <w:rFonts w:ascii="Calibri" w:hAnsi="Calibri"/>
                <w:sz w:val="20"/>
              </w:rPr>
              <w:t>纯防御层</w:t>
            </w:r>
          </w:p>
        </w:tc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36%</w:t>
            </w:r>
          </w:p>
        </w:tc>
        <w:tc>
          <w:tcPr>
            <w:tcW w:type="dxa" w:w="1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172.2万</w:t>
            </w:r>
          </w:p>
        </w:tc>
        <w:tc>
          <w:tcPr>
            <w:tcW w:type="dxa" w:w="1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27.9万</w:t>
            </w:r>
          </w:p>
        </w:tc>
        <w:tc>
          <w:tcPr>
            <w:tcW w:type="dxa" w:w="1100"/>
          </w:tcPr>
          <w:p>
            <w:r/>
            <w:r>
              <w:rPr>
                <w:rFonts w:ascii="Calibri" w:hAnsi="Calibri"/>
                <w:sz w:val="20"/>
              </w:rPr>
              <w:t>144.3万</w:t>
            </w:r>
          </w:p>
        </w:tc>
        <w:tc>
          <w:tcPr>
            <w:tcW w:type="dxa" w:w="1960"/>
          </w:tcPr>
          <w:p>
            <w:r/>
            <w:r>
              <w:rPr>
                <w:rFonts w:ascii="Calibri" w:hAnsi="Calibri"/>
                <w:sz w:val="20"/>
              </w:rPr>
              <w:t>安全垫显式保留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比亚迪2030战略观察仓</w:t>
            </w:r>
          </w:p>
        </w:tc>
        <w:tc>
          <w:tcPr>
            <w:tcW w:type="dxa" w:w="1200"/>
          </w:tcPr>
          <w:p>
            <w:r/>
            <w:r>
              <w:rPr>
                <w:rFonts w:ascii="Calibri" w:hAnsi="Calibri"/>
                <w:sz w:val="20"/>
              </w:rPr>
              <w:t>战略观察</w:t>
            </w:r>
          </w:p>
        </w:tc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3%</w:t>
            </w:r>
          </w:p>
        </w:tc>
        <w:tc>
          <w:tcPr>
            <w:tcW w:type="dxa" w:w="1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14.3万</w:t>
            </w:r>
          </w:p>
        </w:tc>
        <w:tc>
          <w:tcPr>
            <w:tcW w:type="dxa" w:w="1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8.8万</w:t>
            </w:r>
          </w:p>
        </w:tc>
        <w:tc>
          <w:tcPr>
            <w:tcW w:type="dxa" w:w="1100"/>
          </w:tcPr>
          <w:p>
            <w:r/>
            <w:r>
              <w:rPr>
                <w:rFonts w:ascii="Calibri" w:hAnsi="Calibri"/>
                <w:sz w:val="20"/>
              </w:rPr>
              <w:t>5.6万</w:t>
            </w:r>
          </w:p>
        </w:tc>
        <w:tc>
          <w:tcPr>
            <w:tcW w:type="dxa" w:w="1960"/>
          </w:tcPr>
          <w:p>
            <w:r/>
            <w:r>
              <w:rPr>
                <w:rFonts w:ascii="Calibri" w:hAnsi="Calibri"/>
                <w:sz w:val="20"/>
              </w:rPr>
              <w:t>现有底仓观察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战术机会仓</w:t>
            </w:r>
          </w:p>
        </w:tc>
        <w:tc>
          <w:tcPr>
            <w:tcW w:type="dxa" w:w="1200"/>
          </w:tcPr>
          <w:p>
            <w:r/>
            <w:r>
              <w:rPr>
                <w:rFonts w:ascii="Calibri" w:hAnsi="Calibri"/>
                <w:sz w:val="20"/>
              </w:rPr>
              <w:t>战术仓</w:t>
            </w:r>
          </w:p>
        </w:tc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0%</w:t>
            </w:r>
          </w:p>
        </w:tc>
        <w:tc>
          <w:tcPr>
            <w:tcW w:type="dxa" w:w="1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0.0万</w:t>
            </w:r>
          </w:p>
        </w:tc>
        <w:tc>
          <w:tcPr>
            <w:tcW w:type="dxa" w:w="1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0.0万</w:t>
            </w:r>
          </w:p>
        </w:tc>
        <w:tc>
          <w:tcPr>
            <w:tcW w:type="dxa" w:w="1100"/>
          </w:tcPr>
          <w:p>
            <w:r/>
            <w:r>
              <w:rPr>
                <w:rFonts w:ascii="Calibri" w:hAnsi="Calibri"/>
                <w:sz w:val="20"/>
              </w:rPr>
              <w:t>0.0万</w:t>
            </w:r>
          </w:p>
        </w:tc>
        <w:tc>
          <w:tcPr>
            <w:tcW w:type="dxa" w:w="1960"/>
          </w:tcPr>
          <w:p>
            <w:r/>
            <w:r>
              <w:rPr>
                <w:rFonts w:ascii="Calibri" w:hAnsi="Calibri"/>
                <w:sz w:val="20"/>
              </w:rPr>
              <w:t>暂由比亚迪战略观察仓占用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云计算ETF</w:t>
            </w:r>
          </w:p>
        </w:tc>
        <w:tc>
          <w:tcPr>
            <w:tcW w:type="dxa" w:w="1200"/>
          </w:tcPr>
          <w:p>
            <w:r/>
            <w:r>
              <w:rPr>
                <w:rFonts w:ascii="Calibri" w:hAnsi="Calibri"/>
                <w:sz w:val="20"/>
              </w:rPr>
              <w:t>过渡仓</w:t>
            </w:r>
          </w:p>
        </w:tc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0%</w:t>
            </w:r>
          </w:p>
        </w:tc>
        <w:tc>
          <w:tcPr>
            <w:tcW w:type="dxa" w:w="1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0.0万</w:t>
            </w:r>
          </w:p>
        </w:tc>
        <w:tc>
          <w:tcPr>
            <w:tcW w:type="dxa" w:w="1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6.0万</w:t>
            </w:r>
          </w:p>
        </w:tc>
        <w:tc>
          <w:tcPr>
            <w:tcW w:type="dxa" w:w="1100"/>
          </w:tcPr>
          <w:p>
            <w:r/>
            <w:r>
              <w:rPr>
                <w:rFonts w:ascii="Calibri" w:hAnsi="Calibri"/>
                <w:sz w:val="20"/>
              </w:rPr>
              <w:t>-6.0万</w:t>
            </w:r>
          </w:p>
        </w:tc>
        <w:tc>
          <w:tcPr>
            <w:tcW w:type="dxa" w:w="1960"/>
          </w:tcPr>
          <w:p>
            <w:r/>
            <w:r>
              <w:rPr>
                <w:rFonts w:ascii="Calibri" w:hAnsi="Calibri"/>
                <w:sz w:val="20"/>
              </w:rPr>
              <w:t>反弹后降级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绿电ETF遗留仓</w:t>
            </w:r>
          </w:p>
        </w:tc>
        <w:tc>
          <w:tcPr>
            <w:tcW w:type="dxa" w:w="1200"/>
          </w:tcPr>
          <w:p>
            <w:r/>
            <w:r>
              <w:rPr>
                <w:rFonts w:ascii="Calibri" w:hAnsi="Calibri"/>
                <w:sz w:val="20"/>
              </w:rPr>
              <w:t>遗留仓</w:t>
            </w:r>
          </w:p>
        </w:tc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0%</w:t>
            </w:r>
          </w:p>
        </w:tc>
        <w:tc>
          <w:tcPr>
            <w:tcW w:type="dxa" w:w="1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0.0万</w:t>
            </w:r>
          </w:p>
        </w:tc>
        <w:tc>
          <w:tcPr>
            <w:tcW w:type="dxa" w:w="11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4.5万</w:t>
            </w:r>
          </w:p>
        </w:tc>
        <w:tc>
          <w:tcPr>
            <w:tcW w:type="dxa" w:w="1100"/>
          </w:tcPr>
          <w:p>
            <w:r/>
            <w:r>
              <w:rPr>
                <w:rFonts w:ascii="Calibri" w:hAnsi="Calibri"/>
                <w:sz w:val="20"/>
              </w:rPr>
              <w:t>-4.5万</w:t>
            </w:r>
          </w:p>
        </w:tc>
        <w:tc>
          <w:tcPr>
            <w:tcW w:type="dxa" w:w="1960"/>
          </w:tcPr>
          <w:p>
            <w:r/>
            <w:r>
              <w:rPr>
                <w:rFonts w:ascii="Calibri" w:hAnsi="Calibri"/>
                <w:sz w:val="20"/>
              </w:rPr>
              <w:t>压降释放资金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0" w:after="120" w:line="264" w:lineRule="auto"/>
      </w:pPr>
      <w:r>
        <w:rPr>
          <w:rFonts w:ascii="Calibri" w:hAnsi="Calibri"/>
          <w:b w:val="0"/>
          <w:sz w:val="22"/>
        </w:rPr>
        <w:t>比亚迪2030战略观察仓</w:t>
      </w:r>
    </w:p>
    <w:p>
      <w:pPr>
        <w:spacing w:before="0" w:after="160" w:line="264" w:lineRule="auto"/>
      </w:pPr>
      <w:r>
        <w:rPr>
          <w:rFonts w:ascii="Calibri" w:hAnsi="Calibri"/>
          <w:b w:val="0"/>
          <w:sz w:val="22"/>
        </w:rPr>
        <w:t>定位：长期战略观察个股，不是当前第一主线进攻仓。当前市值约8.76万元，低于3%战略观察上限，仍需基本面、估值和技术三重确认后才允许小额复核。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1300"/>
        <w:gridCol w:w="1500"/>
        <w:gridCol w:w="5060"/>
      </w:tblGrid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档位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全资产占比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金额口径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当前状态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保守保留仓</w:t>
            </w:r>
          </w:p>
        </w:tc>
        <w:tc>
          <w:tcPr>
            <w:tcW w:type="dxa" w:w="1300"/>
          </w:tcPr>
          <w:p>
            <w:r/>
            <w:r>
              <w:rPr>
                <w:rFonts w:ascii="Calibri" w:hAnsi="Calibri"/>
                <w:sz w:val="20"/>
              </w:rPr>
              <w:t>1.5%–2.0%</w:t>
            </w:r>
          </w:p>
        </w:tc>
        <w:tc>
          <w:tcPr>
            <w:tcW w:type="dxa" w:w="15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7–10万元</w:t>
            </w:r>
          </w:p>
        </w:tc>
        <w:tc>
          <w:tcPr>
            <w:tcW w:type="dxa" w:w="506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当前约8.76万元，符合底仓观察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2030战略配置仓</w:t>
            </w:r>
          </w:p>
        </w:tc>
        <w:tc>
          <w:tcPr>
            <w:tcW w:type="dxa" w:w="1300"/>
          </w:tcPr>
          <w:p>
            <w:r/>
            <w:r>
              <w:rPr>
                <w:rFonts w:ascii="Calibri" w:hAnsi="Calibri"/>
                <w:sz w:val="20"/>
              </w:rPr>
              <w:t>2.0%–3.0%</w:t>
            </w:r>
          </w:p>
        </w:tc>
        <w:tc>
          <w:tcPr>
            <w:tcW w:type="dxa" w:w="15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10–14.4万元</w:t>
            </w:r>
          </w:p>
        </w:tc>
        <w:tc>
          <w:tcPr>
            <w:tcW w:type="dxa" w:w="506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暂不主动补满，等三重确认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高信仰重仓</w:t>
            </w:r>
          </w:p>
        </w:tc>
        <w:tc>
          <w:tcPr>
            <w:tcW w:type="dxa" w:w="1300"/>
          </w:tcPr>
          <w:p>
            <w:r/>
            <w:r>
              <w:rPr>
                <w:rFonts w:ascii="Calibri" w:hAnsi="Calibri"/>
                <w:sz w:val="20"/>
              </w:rPr>
              <w:t>3.0%–5.0%</w:t>
            </w:r>
          </w:p>
        </w:tc>
        <w:tc>
          <w:tcPr>
            <w:tcW w:type="dxa" w:w="150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14.4–24万元</w:t>
            </w:r>
          </w:p>
        </w:tc>
        <w:tc>
          <w:tcPr>
            <w:tcW w:type="dxa" w:w="506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当前不建议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0" w:after="120" w:line="264" w:lineRule="auto"/>
      </w:pPr>
      <w:r>
        <w:rPr>
          <w:rFonts w:ascii="Calibri" w:hAnsi="Calibri"/>
          <w:b w:val="0"/>
          <w:sz w:val="22"/>
        </w:rPr>
        <w:t>执行优先级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2"/>
        </w:rPr>
        <w:t>新增资金仍优先等待159516、159381等核心方向的高质量回踩买点。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2"/>
        </w:rPr>
        <w:t>红利低波和红利个股继续慢建，不把红利仓当现金安全垫。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2"/>
        </w:rPr>
        <w:t>纯防御层当前约27.85万元，低于长期目标，但已满足最低现金安全垫。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2"/>
        </w:rPr>
        <w:t>云计算、绿电、上证ETF、中望软件继续按降级/遗留仓纪律管理。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95959"/>
        <w:sz w:val="18"/>
      </w:rPr>
      <w:t>V2.8.5-QM | 仅作纪律提醒，不自动交易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