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142236"/>
          <w:sz w:val="48"/>
        </w:rPr>
        <w:t>投资决策分析框架 V2.8.6</w:t>
      </w:r>
    </w:p>
    <w:p>
      <w:pPr>
        <w:spacing w:after="280" w:line="276" w:lineRule="auto"/>
      </w:pPr>
      <w:r>
        <w:rPr>
          <w:rFonts w:ascii="Microsoft YaHei" w:hAnsi="Microsoft YaHei" w:eastAsia="Microsoft YaHei"/>
          <w:b/>
          <w:color w:val="606C7A"/>
          <w:sz w:val="22"/>
        </w:rPr>
        <w:t>阶段达标后再加仓优化版｜2026-06-30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</w:rPr>
        <w:t>本版基于上传的 V2.8.5 阶段达标后再加仓修订版，保留双锚、主线周期、资产质量评分、趋势买点、买点过滤器、情绪温度计、全资产穿透和专项退出纪律；优化重点是把“已经达到当前阶段仓位、但仍低于第一年目标”的灰区，改成可检查、可记录、可复盘的阶段推进规则。</w:t>
      </w:r>
    </w:p>
    <w:p>
      <w:pPr>
        <w:pStyle w:val="Heading1"/>
      </w:pPr>
      <w:r>
        <w:t>一、一句话总纲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color w:val="142236"/>
          <w:sz w:val="23"/>
        </w:rPr>
        <w:t>不因强势而追高，不因低配而补仓；只有当主线、双锚、资产质量、买点、情绪和阶段验证同时达标时，才把仓位从当前阶段推进到下一阶段。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买入资格来自体系共振，不来自年度目标缺口。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第一年目标是方向盘，不是一次性补满指令。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低配核心仓可以防踏空，但防踏空仓必须小、慢、可撤销。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任何 ETF 达到当前阶段上限后，下一笔加仓必须先通过阶段推进检查。</w:t>
      </w:r>
    </w:p>
    <w:p>
      <w:pPr>
        <w:pStyle w:val="Heading1"/>
      </w:pPr>
      <w:r>
        <w:t>二、优化后的总决策链条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确认时代产业方向：是否仍是未来三年利润分配中心。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判断主线生命周期：触底、突破、聚焦、加速、高位震荡、退潮。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读取双锚权限：总量锚和成长锚决定是否允许研究、试探或新增。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完成资产质量评分：ETF 低于 8 分不得作为核心加仓对象，个股低于 7 分只做观察。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识别趋势买点：回踩确认优先，突破只小仓试探，止跌买点需三步确认。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执行买点过滤器：有一票否决项时停止新增。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读取情绪温度：温度 0-4 可加，5-6 缩小，7 以上暂停。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检查阶段推进：当前阶段达标后，必须验证下一阶段触发条件再加仓。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记录复盘证据：每次动作必须留下买入依据、失效条件和下一次检查日期。</w:t>
      </w:r>
    </w:p>
    <w:p>
      <w:pPr>
        <w:pStyle w:val="Heading1"/>
      </w:pPr>
      <w:r>
        <w:t>三、交易权限矩阵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总量锚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成长锚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情绪温度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交易权限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执行含义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开放加仓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允许核心方向按买点和阶段推进规则分批加仓。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小仓试探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仅允许核心 ETF 小额验证，不打开下一阶段满额加仓。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观察强主线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只看相对强势方向，等待回踩确认，不追突破。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防踏空小仓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仅适用于低配核心仓，单次不超过全资产 0.5%。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允许持有和复核，新增仓位减半或暂停。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禁止新增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只做风控、减仓、现金安全垫维护。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禁止成长加仓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成长类 ETF 暂停新增，等待主线资金修复。</w:t>
            </w:r>
          </w:p>
        </w:tc>
      </w:tr>
    </w:tbl>
    <w:p>
      <w:pPr>
        <w:spacing w:after="80"/>
      </w:pPr>
    </w:p>
    <w:p>
      <w:pPr>
        <w:pStyle w:val="Heading1"/>
      </w:pPr>
      <w:r>
        <w:t>四、阶段推进规则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</w:rPr>
        <w:t>阶段推进用于解决“当前阶段仓位已经打满，但离第一年目标仍有缺口”的问题。结论只有四类：等待、小额防踏空、允许下一档、暂停/降级。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24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仓位目标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打开条件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禁止条件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单次动作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观察仓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0-20%目标仓位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双锚至少黄绿；质量≥8；有止跌或回踩雏形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质量&lt;8；总量红；情绪≥7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0.3%-0.5% 全资产试探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验证仓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20%-40%目标仓位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观察仓后未破止损；相对强度跑赢宽基；成交不缩至失效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买入后 5 个交易日内跌破确认位且无修复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0.5%-1.0% 全资产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核心仓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40%-70%目标仓位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回踩确认；主线仍处聚焦/加速早期；双锚双绿优先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连续放量下跌；资金退潮；估值/情绪过热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1.0%-1.5% 全资产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目标仓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70%-100%第一年目标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阶段收益兑现且趋势未加速透支；情绪≤4；还有年度缺口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加速末端、媒体过热、主线证伪任一成立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仅回踩加，不突破追</w:t>
            </w:r>
          </w:p>
        </w:tc>
      </w:tr>
    </w:tbl>
    <w:p>
      <w:pPr>
        <w:spacing w:after="80"/>
      </w:pPr>
    </w:p>
    <w:p>
      <w:pPr>
        <w:pStyle w:val="Heading1"/>
      </w:pPr>
      <w:r>
        <w:t>五、低配核心仓防踏空规则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适用对象：半导体设备、AI硬件、机器人、创新药等已被框架定义为核心或核心观察方向，但当前仓位显著低于第一年目标。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前置条件：总量锚不得为红，成长锚不得为红，质量评分≥8，情绪温度≤5，买点过滤器无一票否决项。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触发方式：若价格强势不回踩，只允许 0.3%-0.5% 的防踏空试探；若出现缩量回踩并重新转强，才允许打开验证仓或核心仓。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撤销方式：试探后跌破确认位、相对强度转弱、成交放量下跌或主线证伪，防踏空仓不再加码，并进入复盘观察。</w:t>
      </w:r>
    </w:p>
    <w:p>
      <w:pPr>
        <w:pStyle w:val="Heading1"/>
      </w:pPr>
      <w:r>
        <w:t>六、ETF评分与买点合并表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核心观察点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通过线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一票否决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主线匹配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是否处于未来三年利润分配中心，是否有政策和产业验证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≥1.5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纯题材无盈利验证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资金语言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成交额、ETF份额、相对强度、龙头承接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≥1.5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连续放量下跌或净赎回恶化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资产质量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指数成分、行业景气、盈利兑现、替代难度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≥1.5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质量评分低于8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估值与情绪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估值分位、拥挤度、媒体热度、涨幅透支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≥1.0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情绪温度≥7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技术买点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回踩、突破、止跌三类买点的确认质量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≥1.5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无确认、只因缺口补仓</w:t>
            </w:r>
          </w:p>
        </w:tc>
      </w:tr>
    </w:tbl>
    <w:p>
      <w:pPr>
        <w:spacing w:after="80"/>
      </w:pPr>
    </w:p>
    <w:p>
      <w:pPr>
        <w:pStyle w:val="Heading1"/>
      </w:pPr>
      <w:r>
        <w:t>七、买入、加仓、暂停的判定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必须同时满足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动作纪律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允许下一档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质量≥8；情绪≤4；双锚双绿或黄绿；阶段验证达标；买点为回踩确认或高质量止跌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按下一阶段单次上限执行，保留现金安全垫。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小额防踏空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核心低配；双锚非红；质量≥8；情绪≤5；强势但未给理想回踩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 0.3%-0.5%，买后必须设确认位。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等待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方向正确但买点不足、情绪偏热或阶段验证未完成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记录观察价，不补年度缺口。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暂停/降级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双锚红、情绪≥7、质量&lt;8、主线退潮三因子共振或买点一票否决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禁止新增，转入风险复核。</w:t>
            </w:r>
          </w:p>
        </w:tc>
      </w:tr>
    </w:tbl>
    <w:p>
      <w:pPr>
        <w:spacing w:after="80"/>
      </w:pPr>
    </w:p>
    <w:p>
      <w:pPr>
        <w:pStyle w:val="Heading1"/>
      </w:pPr>
      <w:r>
        <w:t>八、退出与复盘纪律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主线证伪、资金退潮、估值透支三因子出现两项以上时，从进攻切换为防守。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核心 ETF 不因单日波动退出，但连续相对弱势、跌破趋势位且资金退潮时必须降级。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遗留仓和非核心仓不享受核心仓加仓规则，反弹优先复审退出。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每次买入后三个检查点：T+3 是否守住确认位，T+10 是否强于宽基，月末是否仍符合主线和质量评分。</w:t>
      </w:r>
    </w:p>
    <w:p>
      <w:pPr>
        <w:pStyle w:val="Heading1"/>
      </w:pPr>
      <w:r>
        <w:t>九、每日执行清单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记录口径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通过后动作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市场权限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总量锚、成长锚、情绪温度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决定今天是否能新增。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候选排序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质量评分、主线层级、年度缺口、买点类型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只处理排名前 1-2 个方向。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阶段状态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当前阶段、阶段目标、当前仓位、验证结果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决定是否打开下一档。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单次预算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全资产占比、证券账户可用现金、现金安全垫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限制每次动作规模。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失效条件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确认价、止损/降级价、下一复核日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让每笔动作可撤销。</w:t>
            </w:r>
          </w:p>
        </w:tc>
      </w:tr>
    </w:tbl>
    <w:p>
      <w:pPr>
        <w:spacing w:after="80"/>
      </w:pPr>
    </w:p>
    <w:p/>
    <w:p>
      <w:pPr>
        <w:spacing w:after="0" w:line="276" w:lineRule="auto"/>
      </w:pPr>
      <w:r>
        <w:rPr>
          <w:rFonts w:ascii="Microsoft YaHei" w:hAnsi="Microsoft YaHei" w:eastAsia="Microsoft YaHei"/>
          <w:b/>
          <w:color w:val="1F4E79"/>
        </w:rPr>
        <w:t>配套表格《V2.8.6_阶段达标后再加仓执行表.xlsx》提供输入、评分、阶段推进、ETF执行计划、持仓复核和复盘六个页签，可作为每日仪表盘的补充表。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