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5969a01e3c3863248ac65489390e257fc27f7d"/>
    <w:p>
      <w:pPr>
        <w:pStyle w:val="Heading1"/>
      </w:pPr>
      <w:r>
        <w:t xml:space="preserve">Cost and Resource Estimate: Accounts Payable Invoice Intake Prototype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U.S. Immigration and Customs Enforcement, Office of the Chief Financial Officer, Office of Financial Management (OFM)</w:t>
      </w:r>
    </w:p>
    <w:p>
      <w:pPr>
        <w:pStyle w:val="BodyText"/>
      </w:pPr>
      <w:r>
        <w:rPr>
          <w:bCs/>
          <w:b/>
        </w:rPr>
        <w:t xml:space="preserve">Prepared by:</w:t>
      </w:r>
      <w:r>
        <w:t xml:space="preserve"> </w:t>
      </w:r>
      <w:r>
        <w:t xml:space="preserve">Guidehouse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for discussion, version 0.1, October 2026.</w:t>
      </w:r>
    </w:p>
    <w:p>
      <w:pPr>
        <w:pStyle w:val="BodyText"/>
      </w:pPr>
      <w:r>
        <w:rPr>
          <w:bCs/>
          <w:b/>
        </w:rPr>
        <w:t xml:space="preserve">[INSERT GUIDEHOUSE PROPRIETARY / PRICING LEGEND]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This estimate covers the three phases in the accompanying project plan: discovery and design, prototype build, and prototype evaluation. It also gives an indicative estimate for an optional pilot, and it sets out the ICE staff time the work needs.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244"/>
        <w:gridCol w:w="2112"/>
        <w:gridCol w:w="1188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from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Guidehouse labor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Phases 0–2: Discovery, prototype build and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1,542 (range 1,124–1,960)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 BE PRICED]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Phase 3: Pilot (optional, indicative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8–16 weeks, plus ICE authorization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(range 1,600–3,200)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 BE PRICED]</w:t>
            </w:r>
          </w:p>
        </w:tc>
      </w:tr>
    </w:tbl>
    <w:p>
      <w:pPr>
        <w:pStyle w:val="BodyText"/>
      </w:pPr>
      <w:r>
        <w:t xml:space="preserve">The base hours assume Phase 0 takes 3 weeks, Phase 1 5 weeks and Phase 2 3 weeks. The ranges reflect the shortest and longest durations in the plan.</w:t>
      </w:r>
    </w:p>
    <w:bookmarkEnd w:id="20"/>
    <w:bookmarkStart w:id="21" w:name="proposed-pricing-structure"/>
    <w:p>
      <w:pPr>
        <w:pStyle w:val="Heading2"/>
      </w:pPr>
      <w:r>
        <w:t xml:space="preserve">2. Proposed pricing structure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Phases 0–2: firm fixed price.</w:t>
      </w:r>
      <w:r>
        <w:t xml:space="preserve"> </w:t>
      </w:r>
      <w:r>
        <w:t xml:space="preserve">The prototype is well bounded: it uses synthetic invoices in a Guidehouse-provided environment and does not connect to ICE systems.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 3 (pilot): optional.</w:t>
      </w:r>
      <w:r>
        <w:t xml:space="preserve"> </w:t>
      </w:r>
      <w:r>
        <w:t xml:space="preserve">It will be re-estimated and priced at the end of Phase 2, once discovery has confirmed FileOnQ’s interface options, ICE’s authorization requirements and live invoice volumes.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 point.</w:t>
      </w:r>
      <w:r>
        <w:t xml:space="preserve"> </w:t>
      </w:r>
      <w:r>
        <w:t xml:space="preserve">ICE decides whether to proceed to a pilot after reviewing the Phase 2 metrics report.</w:t>
      </w:r>
    </w:p>
    <w:bookmarkEnd w:id="21"/>
    <w:bookmarkStart w:id="26" w:name="labor-by-phase"/>
    <w:p>
      <w:pPr>
        <w:pStyle w:val="Heading2"/>
      </w:pPr>
      <w:r>
        <w:t xml:space="preserve">3. Labor by phase</w:t>
      </w:r>
    </w:p>
    <w:bookmarkStart w:id="22" w:name="X492c347592ecf0f9a26d0977bb5f1c99a6297e7"/>
    <w:p>
      <w:pPr>
        <w:pStyle w:val="Heading3"/>
      </w:pPr>
      <w:r>
        <w:t xml:space="preserve">Phase 0: Discovery and design (2–4 weeks; base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1980"/>
        <w:gridCol w:w="198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Labor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effort (FTE)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(base)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Engagement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AI/ML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Full-stack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 process subject-matter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Security and compliance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390</w:t>
            </w:r>
          </w:p>
        </w:tc>
      </w:tr>
    </w:tbl>
    <w:bookmarkEnd w:id="22"/>
    <w:bookmarkStart w:id="23" w:name="phase-1-prototype-build-46-weeks-base-5"/>
    <w:p>
      <w:pPr>
        <w:pStyle w:val="Heading3"/>
      </w:pPr>
      <w:r>
        <w:t xml:space="preserve">Phase 1: Prototype build (4–6 weeks; base 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1980"/>
        <w:gridCol w:w="198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Labor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effort (FTE)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(base)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Engagement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AI/ML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Full-stack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 process subject-matter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Security and compliance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720</w:t>
            </w:r>
          </w:p>
        </w:tc>
      </w:tr>
    </w:tbl>
    <w:bookmarkEnd w:id="23"/>
    <w:bookmarkStart w:id="24" w:name="X469bb003ae99376d412b38981a29dfa90ad885e"/>
    <w:p>
      <w:pPr>
        <w:pStyle w:val="Heading3"/>
      </w:pPr>
      <w:r>
        <w:t xml:space="preserve">Phase 2: Prototype evaluation (2–4 weeks; base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1980"/>
        <w:gridCol w:w="198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Labor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effort (FTE)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(base)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Engagement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AI/ML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Full-stack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 process subject-matter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Security and compliance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432</w:t>
            </w:r>
          </w:p>
        </w:tc>
      </w:tr>
    </w:tbl>
    <w:bookmarkEnd w:id="24"/>
    <w:bookmarkStart w:id="25" w:name="Xcf07bfa7371e71fce6ad4ec9140653ecb63e3f1"/>
    <w:p>
      <w:pPr>
        <w:pStyle w:val="Heading3"/>
      </w:pPr>
      <w:r>
        <w:t xml:space="preserve">Phase 3: Pilot (optional; indicative; 8–16 weeks; base 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1980"/>
        <w:gridCol w:w="198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Labor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effort (FTE)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(base)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Engagement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AI/ML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Full-stack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 process subject-matter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Security and compliance advisor (authorization 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Test and quality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2,400</w:t>
            </w:r>
          </w:p>
        </w:tc>
      </w:tr>
    </w:tbl>
    <w:bookmarkEnd w:id="25"/>
    <w:bookmarkEnd w:id="26"/>
    <w:bookmarkStart w:id="27" w:name="other-direct-costs"/>
    <w:p>
      <w:pPr>
        <w:pStyle w:val="Heading2"/>
      </w:pPr>
      <w:r>
        <w:t xml:space="preserve">4. Other direct costs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36"/>
        <w:gridCol w:w="1716"/>
        <w:gridCol w:w="3168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0–2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(optional)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Prototype hosting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 BE PRICED]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(ICE-authorized environment)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OCR, document-AI and language-model service 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 BE PRICED]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 BE PRICED]</w:t>
            </w:r>
            <w:r>
              <w:t xml:space="preserve">, scales with invoice volume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 BE PRICED / none assumed]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 BE PRICED / none assumed]</w:t>
            </w:r>
          </w:p>
        </w:tc>
      </w:tr>
    </w:tbl>
    <w:bookmarkEnd w:id="27"/>
    <w:bookmarkStart w:id="28" w:name="ice-resources-required"/>
    <w:p>
      <w:pPr>
        <w:pStyle w:val="Heading2"/>
      </w:pPr>
      <w:r>
        <w:t xml:space="preserve">5. ICE resources required</w:t>
      </w:r>
    </w:p>
    <w:p>
      <w:pPr>
        <w:pStyle w:val="FirstParagraph"/>
      </w:pPr>
      <w:r>
        <w:t xml:space="preserve">These hours are estimates and will be confirmed in Phase 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13"/>
        <w:gridCol w:w="1342"/>
        <w:gridCol w:w="1073"/>
        <w:gridCol w:w="1476"/>
        <w:gridCol w:w="2013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(optional)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Executive 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review (1–2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review (1–2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reviews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Process owners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hours per week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hours per week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hours per week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hours per week each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AP technicians (3–5)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timing, 1–2 hours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 review sessions, 3–6 hours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Shadow-mode participation (to be scoped)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FileOnQ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support (to be scoped)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CIO’s office / 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activities per ICE process</w:t>
            </w:r>
          </w:p>
        </w:tc>
      </w:tr>
    </w:tbl>
    <w:bookmarkEnd w:id="28"/>
    <w:bookmarkStart w:id="29" w:name="what-the-prototype-will-measure"/>
    <w:p>
      <w:pPr>
        <w:pStyle w:val="Heading2"/>
      </w:pPr>
      <w:r>
        <w:t xml:space="preserve">6. What the prototype will measure</w:t>
      </w:r>
    </w:p>
    <w:p>
      <w:pPr>
        <w:pStyle w:val="FirstParagraph"/>
      </w:pPr>
      <w:r>
        <w:t xml:space="preserve">The prototype will give ICE measured results, not projections:</w:t>
      </w:r>
    </w:p>
    <w:p>
      <w:pPr>
        <w:numPr>
          <w:ilvl w:val="0"/>
          <w:numId w:val="1002"/>
        </w:numPr>
        <w:pStyle w:val="Compact"/>
      </w:pPr>
      <w:r>
        <w:t xml:space="preserve">technician minutes per invoice, compared with a baseline measured in Phase 0</w:t>
      </w:r>
    </w:p>
    <w:p>
      <w:pPr>
        <w:numPr>
          <w:ilvl w:val="0"/>
          <w:numId w:val="1002"/>
        </w:numPr>
        <w:pStyle w:val="Compact"/>
      </w:pPr>
      <w:r>
        <w:t xml:space="preserve">field-level accuracy, including on invoice layouts the system has never seen</w:t>
      </w:r>
    </w:p>
    <w:p>
      <w:pPr>
        <w:numPr>
          <w:ilvl w:val="0"/>
          <w:numId w:val="1002"/>
        </w:numPr>
        <w:pStyle w:val="Compact"/>
      </w:pPr>
      <w:r>
        <w:t xml:space="preserve">the share of invoices marked ready for review that actually contain an error</w:t>
      </w:r>
    </w:p>
    <w:p>
      <w:pPr>
        <w:numPr>
          <w:ilvl w:val="0"/>
          <w:numId w:val="1002"/>
        </w:numPr>
        <w:pStyle w:val="Compact"/>
      </w:pPr>
      <w:r>
        <w:t xml:space="preserve">detection of improper invoices</w:t>
      </w:r>
    </w:p>
    <w:p>
      <w:pPr>
        <w:pStyle w:val="FirstParagraph"/>
      </w:pPr>
      <w:r>
        <w:t xml:space="preserve">ICE can apply these results to its own invoice volume and labor costs to estimate the benefit of a pilot and of production use.</w:t>
      </w:r>
    </w:p>
    <w:bookmarkEnd w:id="29"/>
    <w:bookmarkStart w:id="30" w:name="assumptions-and-exclusions"/>
    <w:p>
      <w:pPr>
        <w:pStyle w:val="Heading2"/>
      </w:pPr>
      <w:r>
        <w:t xml:space="preserve">7. Assumptions and exclusions</w:t>
      </w:r>
    </w:p>
    <w:p>
      <w:pPr>
        <w:numPr>
          <w:ilvl w:val="0"/>
          <w:numId w:val="1003"/>
        </w:numPr>
        <w:pStyle w:val="Compact"/>
      </w:pPr>
      <w:r>
        <w:t xml:space="preserve">The prototype uses synthetic data only, in a Guidehouse-provided environment, with no connection to ICE systems.</w:t>
      </w:r>
    </w:p>
    <w:p>
      <w:pPr>
        <w:numPr>
          <w:ilvl w:val="0"/>
          <w:numId w:val="1003"/>
        </w:numPr>
        <w:pStyle w:val="Compact"/>
      </w:pPr>
      <w:r>
        <w:t xml:space="preserve">ICE provides its proper-invoice checklist, or confirms a draft based on FAR 32.905(b), during Phase 0.</w:t>
      </w:r>
    </w:p>
    <w:p>
      <w:pPr>
        <w:numPr>
          <w:ilvl w:val="0"/>
          <w:numId w:val="1003"/>
        </w:numPr>
        <w:pStyle w:val="Compact"/>
      </w:pPr>
      <w:r>
        <w:t xml:space="preserve">ICE staff are available at the levels in Section 5.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Excluded:</w:t>
      </w:r>
    </w:p>
    <w:p>
      <w:pPr>
        <w:numPr>
          <w:ilvl w:val="1"/>
          <w:numId w:val="1004"/>
        </w:numPr>
        <w:pStyle w:val="Compact"/>
      </w:pPr>
      <w:r>
        <w:t xml:space="preserve">ICE’s authorization (ATO) process itself</w:t>
      </w:r>
    </w:p>
    <w:p>
      <w:pPr>
        <w:numPr>
          <w:ilvl w:val="1"/>
          <w:numId w:val="1004"/>
        </w:numPr>
        <w:pStyle w:val="Compact"/>
      </w:pPr>
      <w:r>
        <w:t xml:space="preserve">FileOnQ licensing or vendor changes</w:t>
      </w:r>
    </w:p>
    <w:p>
      <w:pPr>
        <w:numPr>
          <w:ilvl w:val="1"/>
          <w:numId w:val="1004"/>
        </w:numPr>
        <w:pStyle w:val="Compact"/>
      </w:pPr>
      <w:r>
        <w:t xml:space="preserve">production deployment</w:t>
      </w:r>
    </w:p>
    <w:p>
      <w:pPr>
        <w:numPr>
          <w:ilvl w:val="1"/>
          <w:numId w:val="1004"/>
        </w:numPr>
        <w:pStyle w:val="Compact"/>
      </w:pPr>
      <w:r>
        <w:t xml:space="preserve">integration with the financial system, Treasury or SAP S/4HANA</w:t>
      </w:r>
    </w:p>
    <w:p>
      <w:pPr>
        <w:numPr>
          <w:ilvl w:val="0"/>
          <w:numId w:val="1003"/>
        </w:numPr>
        <w:pStyle w:val="Compact"/>
      </w:pPr>
      <w:r>
        <w:t xml:space="preserve">If Phase 0 finds a material change to these assumptions, Guidehouse will propose the change in writing before work proceeds.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3864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F386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F386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F386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F386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F386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rPr>
        <w:b/>
      </w:rPr>
      <w:tcPr>
        <w:vAlign w:val="bottom"/>
        <w:shd w:color="auto" w:fill="DCE3EE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5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F386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2026-10-09T11:09:28Z</dcterms:created>
  <dcterms:modified xsi:type="dcterms:W3CDTF">2026-10-09T11:09:28Z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