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44"/>
        </w:rPr>
        <w:t>FEMA Program ID &amp; PRA Automation</w:t>
      </w:r>
    </w:p>
    <w:p>
      <w:pPr>
        <w:jc w:val="center"/>
      </w:pPr>
      <w:r>
        <w:rPr>
          <w:color w:val="5A626B"/>
          <w:sz w:val="26"/>
        </w:rPr>
        <w:t>Presenter talk track — read-along demo script</w:t>
      </w:r>
    </w:p>
    <w:p>
      <w:pPr>
        <w:jc w:val="center"/>
      </w:pPr>
      <w:r>
        <w:rPr>
          <w:color w:val="5A626B"/>
          <w:sz w:val="21"/>
        </w:rPr>
        <w:t>In person · Mike Walker (sponsor) · Laura Pollard · Greg Teets (acting DCFO) — all three non-technical</w:t>
      </w:r>
    </w:p>
    <w:tbl>
      <w:tblPr>
        <w:tblW w:type="auto" w:w="0"/>
        <w:jc w:val="center"/>
        <w:tblLook w:firstColumn="1" w:firstRow="1" w:lastColumn="0" w:lastRow="0" w:noHBand="0" w:noVBand="1" w:val="04A0"/>
      </w:tblPr>
      <w:tblGrid>
        <w:gridCol w:w="9936"/>
      </w:tblGrid>
      <w:tr>
        <w:tc>
          <w:tcPr>
            <w:tcW w:type="dxa" w:w="9936"/>
            <w:shd w:val="clear" w:fill="EEF3F7"/>
          </w:tcPr>
          <w:p>
            <w:r>
              <w:rPr>
                <w:b/>
                <w:color w:val="1B2A4A"/>
                <w:sz w:val="22"/>
              </w:rPr>
              <w:t>PACING</w:t>
            </w:r>
          </w:p>
          <w:p>
            <w:r>
              <w:rPr>
                <w:b w:val="0"/>
                <w:color w:val="202428"/>
                <w:sz w:val="22"/>
              </w:rPr>
              <w:t>Timing (30-minute slot):  ~5 min slides  ·  ~8 min demo walkthrough  ·  rest = discussion.</w:t>
            </w:r>
          </w:p>
          <w:p>
            <w:r>
              <w:rPr>
                <w:b w:val="0"/>
                <w:color w:val="202428"/>
                <w:sz w:val="22"/>
              </w:rPr>
              <w:t>Wow moments are marked ★ — do not rush them. Optional beats are marked (Optional); skip them if time is short.</w:t>
            </w:r>
          </w:p>
        </w:tc>
      </w:tr>
    </w:tbl>
    <w:p>
      <w:pPr>
        <w:spacing w:after="40"/>
      </w:pPr>
    </w:p>
    <w:tbl>
      <w:tblPr>
        <w:tblW w:type="auto" w:w="0"/>
        <w:jc w:val="center"/>
        <w:tblLook w:firstColumn="1" w:firstRow="1" w:lastColumn="0" w:lastRow="0" w:noHBand="0" w:noVBand="1" w:val="04A0"/>
      </w:tblPr>
      <w:tblGrid>
        <w:gridCol w:w="9936"/>
      </w:tblGrid>
      <w:tr>
        <w:tc>
          <w:tcPr>
            <w:tcW w:type="dxa" w:w="9936"/>
            <w:shd w:val="clear" w:fill="FBF3E4"/>
          </w:tcPr>
          <w:p>
            <w:r>
              <w:rPr>
                <w:b/>
                <w:color w:val="B06A00"/>
                <w:sz w:val="22"/>
              </w:rPr>
              <w:t>SAY TWICE, MINIMUM</w:t>
            </w:r>
          </w:p>
          <w:p>
            <w:r>
              <w:rPr>
                <w:b/>
                <w:color w:val="202428"/>
                <w:sz w:val="24"/>
              </w:rPr>
              <w:t>“The program names on screen are real, public FEMA programs — but every dollar is dummy data, watermarked, shaped against public funding figures. This is a representation — the art of the possible; once we have your actual program IDs, this is the structure we build down into.”</w:t>
            </w:r>
          </w:p>
          <w:p>
            <w:r>
              <w:rPr>
                <w:b w:val="0"/>
                <w:color w:val="202428"/>
                <w:sz w:val="20"/>
              </w:rPr>
              <w:t>There is NO on-screen banner — this disclosure is entirely on you. Every export the file generates still carries the SYNTHETIC-DEMO watermark.</w:t>
            </w:r>
          </w:p>
        </w:tc>
      </w:tr>
    </w:tbl>
    <w:p>
      <w:pPr>
        <w:spacing w:after="40"/>
      </w:pPr>
    </w:p>
    <w:tbl>
      <w:tblPr>
        <w:tblW w:type="auto" w:w="0"/>
        <w:jc w:val="center"/>
        <w:tblLook w:firstColumn="1" w:firstRow="1" w:lastColumn="0" w:lastRow="0" w:noHBand="0" w:noVBand="1" w:val="04A0"/>
      </w:tblPr>
      <w:tblGrid>
        <w:gridCol w:w="9936"/>
      </w:tblGrid>
      <w:tr>
        <w:tc>
          <w:tcPr>
            <w:tcW w:type="dxa" w:w="9936"/>
            <w:shd w:val="clear" w:fill="EEF3F7"/>
          </w:tcPr>
          <w:p>
            <w:r>
              <w:rPr>
                <w:b/>
                <w:color w:val="1B2A4A"/>
                <w:sz w:val="22"/>
              </w:rPr>
              <w:t>SETUP</w:t>
            </w:r>
          </w:p>
          <w:p>
            <w:r>
              <w:rPr>
                <w:b w:val="0"/>
                <w:color w:val="202428"/>
                <w:sz w:val="21"/>
              </w:rPr>
              <w:t>☐  Double-click fema-demo.html — wifi can be OFF. Say so; it is part of the story.</w:t>
            </w:r>
          </w:p>
          <w:p>
            <w:r>
              <w:rPr>
                <w:b w:val="0"/>
                <w:color w:val="202428"/>
                <w:sz w:val="21"/>
              </w:rPr>
              <w:t>☐  Reload = clean reset (after you have made session decisions the browser asks to confirm — click through).</w:t>
            </w:r>
          </w:p>
          <w:p>
            <w:r>
              <w:rPr>
                <w:b w:val="0"/>
                <w:color w:val="202428"/>
                <w:sz w:val="21"/>
              </w:rPr>
              <w:t>☐  Land three pains early: opaque mapping · manual reconciliation · late signal.</w:t>
            </w:r>
          </w:p>
        </w:tc>
      </w:tr>
    </w:tbl>
    <w:p>
      <w:pPr>
        <w:spacing w:after="40"/>
      </w:pPr>
    </w:p>
    <w:p>
      <w:pPr>
        <w:keepNext/>
        <w:spacing w:before="280" w:after="80"/>
      </w:pPr>
      <w:r>
        <w:rPr>
          <w:b/>
          <w:color w:val="1B2A4A"/>
          <w:sz w:val="30"/>
        </w:rPr>
        <w:t>1 · Opening  (≈1 min)</w:t>
      </w:r>
    </w:p>
    <w:p>
      <w:pPr>
        <w:spacing w:after="160"/>
        <w:ind w:left="403"/>
      </w:pPr>
      <w:r>
        <w:rPr>
          <w:b/>
          <w:color w:val="0B6E6E"/>
          <w:sz w:val="18"/>
        </w:rPr>
        <w:t xml:space="preserve">SAY </w:t>
      </w:r>
      <w:r>
        <w:rPr>
          <w:color w:val="202428"/>
          <w:sz w:val="26"/>
        </w:rPr>
        <w:t>Thanks for the time. What you’re about to see is a representation — the art of the possible. The program names on screen are real, public FEMA programs — Public Assistance, the Hazard Mitigation Grant Program, Individual Assistance, the Homeland Security Grant Program, Urban Search &amp; Rescue — but every dollar is dummy data, watermarked, shaped against public FEMA funding figures, never real spend. The goal today isn’t a finished product; it’s to show that the automation Mike’s office has been asking about for a while is doable, and to line up the handful of questions we need your experts to answer to make it real. Once we have your actual program IDs and data, this is the structure we build down into.</w:t>
      </w:r>
    </w:p>
    <w:p>
      <w:pPr>
        <w:keepNext/>
        <w:spacing w:before="280" w:after="80"/>
      </w:pPr>
      <w:r>
        <w:rPr>
          <w:b/>
          <w:color w:val="1B2A4A"/>
          <w:sz w:val="30"/>
        </w:rPr>
        <w:t>2 · Problem framing  (≈2 min)</w:t>
      </w:r>
    </w:p>
    <w:p>
      <w:pPr>
        <w:spacing w:after="160"/>
        <w:ind w:left="403"/>
      </w:pPr>
      <w:r>
        <w:rPr>
          <w:b/>
          <w:color w:val="0B6E6E"/>
          <w:sz w:val="18"/>
        </w:rPr>
        <w:t xml:space="preserve">SAY </w:t>
      </w:r>
      <w:r>
        <w:rPr>
          <w:color w:val="202428"/>
          <w:sz w:val="26"/>
        </w:rPr>
        <w:t>FEMA has to report designated programs for improper-payment testing under PIIA and OMB A-123 Appendix C — and this is an active oversight area: GAO high-risk, DHS OIG audits. The front door to that is a preliminary risk assessment per program. To fill it in, you need each program’s actual spend — and getting that number is the hard part.</w:t>
      </w:r>
    </w:p>
    <w:p>
      <w:pPr>
        <w:spacing w:after="160"/>
        <w:ind w:left="403"/>
      </w:pPr>
      <w:r>
        <w:rPr>
          <w:b/>
          <w:color w:val="0B6E6E"/>
          <w:sz w:val="18"/>
        </w:rPr>
        <w:t xml:space="preserve">SAY </w:t>
      </w:r>
      <w:r>
        <w:rPr>
          <w:color w:val="202428"/>
          <w:sz w:val="26"/>
        </w:rPr>
        <w:t>Today the spend figure comes out of the financial system, gets hand-cleansed, and mapped to a Program ID using rules that live somewhere — you see the outputs, not the logic. Sub-programs roll up to parent programs; some programs split by disaster — Harvey, Irma, Maria. And the final spend lands weeks or months after year-end, so by the time you know which programs need a comprehensive assessment, the year’s nearly gone.</w:t>
      </w:r>
    </w:p>
    <w:p>
      <w:r>
        <w:br w:type="page"/>
      </w:r>
    </w:p>
    <w:p>
      <w:pPr>
        <w:keepNext/>
        <w:spacing w:before="280" w:after="80"/>
      </w:pPr>
      <w:r>
        <w:rPr>
          <w:b/>
          <w:color w:val="1B2A4A"/>
          <w:sz w:val="34"/>
        </w:rPr>
        <w:t>3 · Demo walkthrough  (≈8 min)</w:t>
      </w:r>
    </w:p>
    <w:p>
      <w:pPr>
        <w:spacing w:after="120"/>
        <w:ind w:left="403"/>
      </w:pPr>
      <w:r>
        <w:rPr>
          <w:i/>
          <w:color w:val="5A626B"/>
          <w:sz w:val="20"/>
        </w:rPr>
        <w:t>Timestamps are demo-clock targets. Each screen: grey DO lines are your clicks; large SAY lines are the words.</w:t>
      </w:r>
    </w:p>
    <w:p>
      <w:pPr>
        <w:keepNext/>
        <w:spacing w:before="280" w:after="80"/>
      </w:pPr>
      <w:r>
        <w:rPr>
          <w:b/>
          <w:color w:val="1B2A4A"/>
          <w:sz w:val="26"/>
        </w:rPr>
        <w:t>0:00 — Screen 1 · Executive dashboard  (~45s)</w:t>
      </w:r>
    </w:p>
    <w:p>
      <w:pPr>
        <w:spacing w:after="80"/>
        <w:ind w:left="403"/>
      </w:pPr>
      <w:r>
        <w:rPr>
          <w:b/>
          <w:color w:val="5A626B"/>
          <w:sz w:val="18"/>
        </w:rPr>
        <w:t xml:space="preserve">DO </w:t>
      </w:r>
      <w:r>
        <w:rPr>
          <w:color w:val="5A626B"/>
          <w:sz w:val="21"/>
        </w:rPr>
        <w:t>Open on the dashboard. Point at the four KPI tiles, then the five program names.</w:t>
      </w:r>
    </w:p>
    <w:p>
      <w:pPr>
        <w:spacing w:after="160"/>
        <w:ind w:left="403"/>
      </w:pPr>
      <w:r>
        <w:rPr>
          <w:b/>
          <w:color w:val="0B6E6E"/>
          <w:sz w:val="18"/>
        </w:rPr>
        <w:t xml:space="preserve">SAY </w:t>
      </w:r>
      <w:r>
        <w:rPr>
          <w:color w:val="202428"/>
          <w:sz w:val="26"/>
        </w:rPr>
        <w:t>These are your real programs — Public Assistance, HMGP, Individual Assistance, the Homeland Security Grant Program, Urban Search &amp; Rescue. The dollars are dummy data. And this is the answer the current process takes weeks to months to produce after year-end — total spend, which programs breach the comprehensive-assessment trigger, and what’s stuck unmapped — in one view, computed live inside this one HTML file.</w:t>
      </w:r>
    </w:p>
    <w:p>
      <w:pPr>
        <w:spacing w:after="80"/>
        <w:ind w:left="403"/>
      </w:pPr>
      <w:r>
        <w:rPr>
          <w:b/>
          <w:color w:val="5A626B"/>
          <w:sz w:val="18"/>
        </w:rPr>
        <w:t xml:space="preserve">DO </w:t>
      </w:r>
      <w:r>
        <w:rPr>
          <w:color w:val="5A626B"/>
          <w:sz w:val="21"/>
        </w:rPr>
        <w:t>Hover a red bar.</w:t>
      </w:r>
    </w:p>
    <w:p>
      <w:pPr>
        <w:spacing w:after="160"/>
        <w:ind w:left="403"/>
      </w:pPr>
      <w:r>
        <w:rPr>
          <w:b/>
          <w:color w:val="0B6E6E"/>
          <w:sz w:val="18"/>
        </w:rPr>
        <w:t xml:space="preserve">SAY </w:t>
      </w:r>
      <w:r>
        <w:rPr>
          <w:color w:val="202428"/>
          <w:sz w:val="26"/>
        </w:rPr>
        <w:t>Red means the trigger fired — on dollars or on transaction volume, your 2024 rule. We’ll change that live in a minute.</w:t>
      </w:r>
    </w:p>
    <w:p>
      <w:pPr>
        <w:keepNext/>
        <w:spacing w:before="280" w:after="80"/>
      </w:pPr>
      <w:r>
        <w:rPr>
          <w:b/>
          <w:color w:val="1B2A4A"/>
          <w:sz w:val="26"/>
        </w:rPr>
        <w:t>0:45 — Screen 2 · Data ingestion  (~45s)</w:t>
      </w:r>
    </w:p>
    <w:p>
      <w:pPr>
        <w:spacing w:after="80"/>
        <w:ind w:left="403"/>
      </w:pPr>
      <w:r>
        <w:rPr>
          <w:b/>
          <w:color w:val="5A626B"/>
          <w:sz w:val="18"/>
        </w:rPr>
        <w:t xml:space="preserve">DO </w:t>
      </w:r>
      <w:r>
        <w:rPr>
          <w:color w:val="5A626B"/>
          <w:sz w:val="21"/>
        </w:rPr>
        <w:t>Point at the pipeline strip: 1,459 rows landed → 88 repaired → 23 legacy aliases remapped.</w:t>
      </w:r>
    </w:p>
    <w:p>
      <w:pPr>
        <w:spacing w:after="160"/>
        <w:ind w:left="403"/>
      </w:pPr>
      <w:r>
        <w:rPr>
          <w:b/>
          <w:color w:val="0B6E6E"/>
          <w:sz w:val="18"/>
        </w:rPr>
        <w:t xml:space="preserve">SAY </w:t>
      </w:r>
      <w:r>
        <w:rPr>
          <w:color w:val="202428"/>
          <w:sz w:val="26"/>
        </w:rPr>
        <w:t>File in. The extract layout is a config contract, not code — when we see your real WebFMIS extract, we swap this panel, not the system. That’s also how it survives the financial-system modernization.</w:t>
      </w:r>
    </w:p>
    <w:p>
      <w:pPr>
        <w:spacing w:after="80"/>
        <w:ind w:left="403"/>
      </w:pPr>
      <w:r>
        <w:rPr>
          <w:b/>
          <w:color w:val="5A626B"/>
          <w:sz w:val="18"/>
        </w:rPr>
        <w:t xml:space="preserve">DO </w:t>
      </w:r>
      <w:r>
        <w:rPr>
          <w:color w:val="5A626B"/>
          <w:sz w:val="21"/>
        </w:rPr>
        <w:t>Point at the TAFS and Type columns in the sample.</w:t>
      </w:r>
    </w:p>
    <w:p>
      <w:pPr>
        <w:spacing w:after="160"/>
        <w:ind w:left="403"/>
      </w:pPr>
      <w:r>
        <w:rPr>
          <w:b/>
          <w:color w:val="0B6E6E"/>
          <w:sz w:val="18"/>
        </w:rPr>
        <w:t xml:space="preserve">SAY </w:t>
      </w:r>
      <w:r>
        <w:rPr>
          <w:color w:val="202428"/>
          <w:sz w:val="26"/>
        </w:rPr>
        <w:t>The fields you asked for — the Treasury fund symbol and the disbursement type — are carried on every record. These values are formatted stand-ins until we see the real WebFMIS fields. And the DR column distinguishes disaster from non-disaster money — HSGP and US&amp;R rows carry no disaster number, by design.</w:t>
      </w:r>
    </w:p>
    <w:p>
      <w:pPr>
        <w:spacing w:after="80"/>
        <w:ind w:left="403"/>
      </w:pPr>
      <w:r>
        <w:rPr>
          <w:b/>
          <w:color w:val="5A626B"/>
          <w:sz w:val="18"/>
        </w:rPr>
        <w:t xml:space="preserve">DO </w:t>
      </w:r>
      <w:r>
        <w:rPr>
          <w:color w:val="5A626B"/>
          <w:sz w:val="21"/>
        </w:rPr>
        <w:t>Point at a red dirty raw code next to its green cleansed code.</w:t>
      </w:r>
    </w:p>
    <w:p>
      <w:pPr>
        <w:spacing w:after="160"/>
        <w:ind w:left="403"/>
      </w:pPr>
      <w:r>
        <w:rPr>
          <w:b/>
          <w:color w:val="0B6E6E"/>
          <w:sz w:val="18"/>
        </w:rPr>
        <w:t xml:space="preserve">SAY </w:t>
      </w:r>
      <w:r>
        <w:rPr>
          <w:color w:val="202428"/>
          <w:sz w:val="26"/>
        </w:rPr>
        <w:t>Today’s “behind-the-scenes adjustments” become visible, checkable rules.</w:t>
      </w:r>
    </w:p>
    <w:p>
      <w:pPr>
        <w:spacing w:after="80"/>
        <w:ind w:left="403"/>
      </w:pPr>
      <w:r>
        <w:rPr>
          <w:b/>
          <w:color w:val="5A626B"/>
          <w:sz w:val="18"/>
        </w:rPr>
        <w:t xml:space="preserve">DO </w:t>
      </w:r>
      <w:r>
        <w:rPr>
          <w:color w:val="5A626B"/>
          <w:sz w:val="21"/>
        </w:rPr>
        <w:t>(Optional, +60s, high-impact) Live ingestion: Download the embedded extract (.csv) → open in Excel → change one amount or add a row with a dirty spelling like pa/97036/4332 → save → Choose CSV to ingest… Dashboard, flags and PRA recompute. Restore embedded extract resets.</w:t>
      </w:r>
    </w:p>
    <w:p>
      <w:pPr>
        <w:spacing w:after="160"/>
        <w:ind w:left="403"/>
      </w:pPr>
      <w:r>
        <w:rPr>
          <w:b/>
          <w:color w:val="0B6E6E"/>
          <w:sz w:val="18"/>
        </w:rPr>
        <w:t xml:space="preserve">SAY </w:t>
      </w:r>
      <w:r>
        <w:rPr>
          <w:color w:val="202428"/>
          <w:sz w:val="26"/>
        </w:rPr>
        <w:t>That’s the whole product loop on your own file — no server anywhere.</w:t>
      </w:r>
    </w:p>
    <w:p>
      <w:pPr>
        <w:keepNext/>
        <w:spacing w:before="280" w:after="80"/>
      </w:pPr>
      <w:r>
        <w:rPr>
          <w:b/>
          <w:color w:val="1B2A4A"/>
          <w:sz w:val="26"/>
        </w:rPr>
        <w:t>1:30 — Screen 3 · Program mapping workspace  (~2 min)  ★ wow #1 — “Follow the dollar”</w:t>
      </w:r>
    </w:p>
    <w:p>
      <w:pPr>
        <w:spacing w:after="160"/>
        <w:ind w:left="403"/>
      </w:pPr>
      <w:r>
        <w:rPr>
          <w:b/>
          <w:color w:val="0B6E6E"/>
          <w:sz w:val="18"/>
        </w:rPr>
        <w:t xml:space="preserve">SAY </w:t>
      </w:r>
      <w:r>
        <w:rPr>
          <w:color w:val="202428"/>
          <w:sz w:val="26"/>
        </w:rPr>
        <w:t>We don’t have your Program ID rules — the SOP is still being chased. So we inferred the rules from four years of history, gave each a confidence score, and made them editable.</w:t>
      </w:r>
    </w:p>
    <w:p>
      <w:pPr>
        <w:spacing w:after="80"/>
        <w:ind w:left="403"/>
      </w:pPr>
      <w:r>
        <w:rPr>
          <w:b/>
          <w:color w:val="B06A00"/>
          <w:sz w:val="18"/>
        </w:rPr>
        <w:t xml:space="preserve">DO </w:t>
      </w:r>
      <w:r>
        <w:rPr>
          <w:color w:val="5A626B"/>
          <w:sz w:val="21"/>
        </w:rPr>
        <w:t>★ In the Follow the dollar card, click the Legacy alias chip. Let the five stations light up one by one: raw LEG-0001 → cleansing recovers the canonical code → mapping rule assigns the grouping → rollup to Public Assistance → disaster tag + the program total and PRA lines this dollar feeds.</w:t>
      </w:r>
    </w:p>
    <w:p>
      <w:pPr>
        <w:spacing w:after="160"/>
        <w:ind w:left="403"/>
      </w:pPr>
      <w:r>
        <w:rPr>
          <w:b/>
          <w:color w:val="0B6E6E"/>
          <w:sz w:val="18"/>
        </w:rPr>
        <w:t xml:space="preserve">SAY </w:t>
      </w:r>
      <w:r>
        <w:rPr>
          <w:color w:val="202428"/>
          <w:sz w:val="26"/>
        </w:rPr>
        <w:t>This walk happens invisibly inside FEMA today — you only get the outputs of it. Here it’s a click, and every hop cites the rule that did it.</w:t>
      </w:r>
    </w:p>
    <w:p>
      <w:pPr>
        <w:spacing w:after="80"/>
        <w:ind w:left="403"/>
      </w:pPr>
      <w:r>
        <w:rPr>
          <w:b/>
          <w:color w:val="5A626B"/>
          <w:sz w:val="18"/>
        </w:rPr>
        <w:t xml:space="preserve">DO </w:t>
      </w:r>
      <w:r>
        <w:rPr>
          <w:color w:val="5A626B"/>
          <w:sz w:val="21"/>
        </w:rPr>
        <w:t>Click Open in flow map — the program renders as a dollar-weighted river with this dollar’s path lit.</w:t>
      </w:r>
    </w:p>
    <w:p>
      <w:pPr>
        <w:spacing w:after="160"/>
        <w:ind w:left="403"/>
      </w:pPr>
      <w:r>
        <w:rPr>
          <w:b/>
          <w:color w:val="0B6E6E"/>
          <w:sz w:val="18"/>
        </w:rPr>
        <w:t xml:space="preserve">SAY </w:t>
      </w:r>
      <w:r>
        <w:rPr>
          <w:color w:val="202428"/>
          <w:sz w:val="26"/>
        </w:rPr>
        <w:t>Public Assistance’s sub-groupings ARE the disaster numbers — Harvey, Irma, Maria — exactly how your team described it. Switch to Individual Assistance and the middle column becomes IHP, Mass Care and Disaster Case Management — three components rolling up to one reporting program, your words as a picture.</w:t>
      </w:r>
    </w:p>
    <w:p>
      <w:pPr>
        <w:spacing w:after="80"/>
        <w:ind w:left="403"/>
      </w:pPr>
      <w:r>
        <w:rPr>
          <w:b/>
          <w:color w:val="5A626B"/>
          <w:sz w:val="18"/>
        </w:rPr>
        <w:t xml:space="preserve">DO </w:t>
      </w:r>
      <w:r>
        <w:rPr>
          <w:color w:val="5A626B"/>
          <w:sz w:val="21"/>
        </w:rPr>
        <w:t>(Optional, fast) Type leg-0001 — or a dirty spelling like pa/97036/4332 — into the code search in the top bar.</w:t>
      </w:r>
    </w:p>
    <w:p>
      <w:pPr>
        <w:spacing w:after="160"/>
        <w:ind w:left="403"/>
      </w:pPr>
      <w:r>
        <w:rPr>
          <w:b/>
          <w:color w:val="0B6E6E"/>
          <w:sz w:val="18"/>
        </w:rPr>
        <w:t xml:space="preserve">SAY </w:t>
      </w:r>
      <w:r>
        <w:rPr>
          <w:color w:val="202428"/>
          <w:sz w:val="26"/>
        </w:rPr>
        <w:t>Same answer instantly, with the rule, the confidence and the fund symbol attached. Today this question means finding the person who knows.</w:t>
      </w:r>
    </w:p>
    <w:p>
      <w:pPr>
        <w:keepNext/>
        <w:spacing w:before="280" w:after="80"/>
      </w:pPr>
      <w:r>
        <w:rPr>
          <w:b/>
          <w:color w:val="B06A00"/>
          <w:sz w:val="24"/>
        </w:rPr>
        <w:t>★ THE wow moment — crawler holdout reveal  (+~60s)</w:t>
      </w:r>
    </w:p>
    <w:p>
      <w:pPr>
        <w:spacing w:after="80"/>
        <w:ind w:left="403"/>
      </w:pPr>
      <w:r>
        <w:rPr>
          <w:b/>
          <w:color w:val="B06A00"/>
          <w:sz w:val="18"/>
        </w:rPr>
        <w:t xml:space="preserve">DO </w:t>
      </w:r>
      <w:r>
        <w:rPr>
          <w:color w:val="5A626B"/>
          <w:sz w:val="21"/>
        </w:rPr>
        <w:t>Open the Inference test tab. Walk the two panels SLOWLY.</w:t>
      </w:r>
    </w:p>
    <w:p>
      <w:pPr>
        <w:spacing w:after="160"/>
        <w:ind w:left="403"/>
      </w:pPr>
      <w:r>
        <w:rPr>
          <w:b/>
          <w:color w:val="0B6E6E"/>
          <w:sz w:val="18"/>
        </w:rPr>
        <w:t xml:space="preserve">SAY </w:t>
      </w:r>
      <w:r>
        <w:rPr>
          <w:color w:val="202428"/>
          <w:sz w:val="26"/>
        </w:rPr>
        <w:t>Left — everything the crawler is allowed to see: 204 grouping assignments, fiscal 2022 through 2025, four years of history. Right — what it is NOT shown: the 57 FY2026 codes it has to classify, their assignments sealed.</w:t>
      </w:r>
    </w:p>
    <w:p>
      <w:pPr>
        <w:spacing w:after="80"/>
        <w:ind w:left="403"/>
      </w:pPr>
      <w:r>
        <w:rPr>
          <w:b/>
          <w:color w:val="B06A00"/>
          <w:sz w:val="18"/>
        </w:rPr>
        <w:t xml:space="preserve">DO </w:t>
      </w:r>
      <w:r>
        <w:rPr>
          <w:color w:val="5A626B"/>
          <w:sz w:val="21"/>
        </w:rPr>
        <w:t>Click “Run inference on FY2022–2025 history”. Let the ticker mine. Then walk the proposals table: 47 codes clear the 0.85 bar; 10 route to human review (6 never-seen + 4 churned-history — three of those the retired legacy aliases).</w:t>
      </w:r>
    </w:p>
    <w:p>
      <w:pPr>
        <w:spacing w:after="160"/>
        <w:ind w:left="403"/>
      </w:pPr>
      <w:r>
        <w:rPr>
          <w:b/>
          <w:color w:val="0B6E6E"/>
          <w:sz w:val="18"/>
        </w:rPr>
        <w:t xml:space="preserve">SAY </w:t>
      </w:r>
      <w:r>
        <w:rPr>
          <w:color w:val="202428"/>
          <w:sz w:val="26"/>
        </w:rPr>
        <w:t>Notice the crawler is least confident exactly where your extract was messiest.</w:t>
      </w:r>
    </w:p>
    <w:p>
      <w:pPr>
        <w:spacing w:after="160"/>
        <w:ind w:left="403"/>
      </w:pPr>
      <w:r>
        <w:rPr>
          <w:b/>
          <w:color w:val="0B6E6E"/>
          <w:sz w:val="18"/>
        </w:rPr>
        <w:t xml:space="preserve">SAY </w:t>
      </w:r>
      <w:r>
        <w:rPr>
          <w:color w:val="202428"/>
          <w:sz w:val="26"/>
        </w:rPr>
        <w:t>You said it yourself — 99% of the time these groupings are all together. Let’s grade it.</w:t>
      </w:r>
    </w:p>
    <w:p>
      <w:pPr>
        <w:spacing w:after="80"/>
        <w:ind w:left="403"/>
      </w:pPr>
      <w:r>
        <w:rPr>
          <w:b/>
          <w:color w:val="B06A00"/>
          <w:sz w:val="18"/>
        </w:rPr>
        <w:t xml:space="preserve">DO </w:t>
      </w:r>
      <w:r>
        <w:rPr>
          <w:color w:val="5A626B"/>
          <w:sz w:val="21"/>
        </w:rPr>
        <w:t>Click “Reveal — score against the held-out FY2026 mapping”.</w:t>
      </w:r>
    </w:p>
    <w:p>
      <w:pPr>
        <w:spacing w:after="160"/>
        <w:ind w:left="403"/>
      </w:pPr>
      <w:r>
        <w:rPr>
          <w:b/>
          <w:color w:val="0B6E6E"/>
          <w:sz w:val="18"/>
        </w:rPr>
        <w:t xml:space="preserve">SAY </w:t>
      </w:r>
      <w:r>
        <w:rPr>
          <w:color w:val="202428"/>
          <w:sz w:val="26"/>
        </w:rPr>
        <w:t>47 of 47 auto-grouped codes match the mapping it never saw. The 4 caught-by-review proposals were right but under-evidenced — a reviewer confirms them. The 6 never-seen went to your people. Zero incorrect auto-classifications. The thing you were told you couldn’t have — the grouping logic — reconstructed from the thing you already have: history. And where it wasn’t sure, it didn’t guess.</w:t>
      </w:r>
    </w:p>
    <w:p>
      <w:pPr>
        <w:spacing w:after="160"/>
        <w:ind w:left="403"/>
      </w:pPr>
      <w:r>
        <w:rPr>
          <w:b/>
          <w:color w:val="0B6E6E"/>
          <w:sz w:val="18"/>
        </w:rPr>
        <w:t xml:space="preserve">SAY </w:t>
      </w:r>
      <w:r>
        <w:rPr>
          <w:color w:val="202428"/>
          <w:sz w:val="24"/>
        </w:rPr>
        <w:t>Honesty beat — say it every time: this dataset’s history is deliberately stable, so a perfect score is expected here — real-world accuracy is exactly what the SME validation sessions will establish. Inference and scoring are separate code paths in this file; the crawler physically can’t read the labels it’s graded on.</w:t>
      </w:r>
    </w:p>
    <w:p>
      <w:pPr>
        <w:spacing w:after="80"/>
        <w:ind w:left="403"/>
      </w:pPr>
      <w:r>
        <w:rPr>
          <w:b/>
          <w:color w:val="5A626B"/>
          <w:sz w:val="18"/>
        </w:rPr>
        <w:t xml:space="preserve">DO </w:t>
      </w:r>
      <w:r>
        <w:rPr>
          <w:color w:val="5A626B"/>
          <w:sz w:val="21"/>
        </w:rPr>
        <w:t>Back on the Workspace tab: show the exception queue.</w:t>
      </w:r>
    </w:p>
    <w:p>
      <w:pPr>
        <w:spacing w:after="160"/>
        <w:ind w:left="403"/>
      </w:pPr>
      <w:r>
        <w:rPr>
          <w:b/>
          <w:color w:val="0B6E6E"/>
          <w:sz w:val="18"/>
        </w:rPr>
        <w:t xml:space="preserve">SAY </w:t>
      </w:r>
      <w:r>
        <w:rPr>
          <w:color w:val="202428"/>
          <w:sz w:val="26"/>
        </w:rPr>
        <w:t>Six new FY2026 codes no rule can classify. The AI suggests a home with 44–61% confidence — below the 0.85 bar, so nothing auto-classifies. A human decides.</w:t>
      </w:r>
    </w:p>
    <w:p>
      <w:pPr>
        <w:spacing w:after="80"/>
        <w:ind w:left="403"/>
      </w:pPr>
      <w:r>
        <w:rPr>
          <w:b/>
          <w:color w:val="5A626B"/>
          <w:sz w:val="18"/>
        </w:rPr>
        <w:t xml:space="preserve">DO </w:t>
      </w:r>
      <w:r>
        <w:rPr>
          <w:color w:val="5A626B"/>
          <w:sz w:val="21"/>
        </w:rPr>
        <w:t>Click Approve suggestion on XR-88001-4339 — the What changed drawer itemizes the blast radius (4 transactions, +$1.8M into Individual Assistance, the PRA answers that moved). Keep it.</w:t>
      </w:r>
    </w:p>
    <w:p>
      <w:pPr>
        <w:spacing w:after="80"/>
        <w:ind w:left="403"/>
      </w:pPr>
      <w:r>
        <w:rPr>
          <w:b/>
          <w:color w:val="B06A00"/>
          <w:sz w:val="18"/>
        </w:rPr>
        <w:t xml:space="preserve">DO </w:t>
      </w:r>
      <w:r>
        <w:rPr>
          <w:color w:val="5A626B"/>
          <w:sz w:val="21"/>
        </w:rPr>
        <w:t>★ wow #2: in the mapping table, change one code’s sub-grouping dropdown — the drawer itemizes transactions moved, both programs’ deltas per FY, any trigger flip, every PRA answer that changed, with an exact Revert.</w:t>
      </w:r>
    </w:p>
    <w:p>
      <w:pPr>
        <w:spacing w:after="160"/>
        <w:ind w:left="403"/>
      </w:pPr>
      <w:r>
        <w:rPr>
          <w:b/>
          <w:color w:val="0B6E6E"/>
          <w:sz w:val="18"/>
        </w:rPr>
        <w:t xml:space="preserve">SAY </w:t>
      </w:r>
      <w:r>
        <w:rPr>
          <w:color w:val="202428"/>
          <w:sz w:val="26"/>
        </w:rPr>
        <w:t>One rule edit — every rollup, the dashboard, the trigger flags and the PRA answers downstream just recomputed, and the blast radius is enumerated before you keep it. Rules-as-data, not tribal knowledge.</w:t>
      </w:r>
    </w:p>
    <w:p>
      <w:pPr>
        <w:keepNext/>
        <w:spacing w:before="280" w:after="80"/>
      </w:pPr>
      <w:r>
        <w:rPr>
          <w:b/>
          <w:color w:val="1B2A4A"/>
          <w:sz w:val="26"/>
        </w:rPr>
        <w:t>3:00 — Screen 4 · Event grouping  (~30s)</w:t>
      </w:r>
    </w:p>
    <w:p>
      <w:pPr>
        <w:spacing w:after="80"/>
        <w:ind w:left="403"/>
      </w:pPr>
      <w:r>
        <w:rPr>
          <w:b/>
          <w:color w:val="5A626B"/>
          <w:sz w:val="18"/>
        </w:rPr>
        <w:t xml:space="preserve">DO </w:t>
      </w:r>
      <w:r>
        <w:rPr>
          <w:color w:val="5A626B"/>
          <w:sz w:val="21"/>
        </w:rPr>
        <w:t>Keep Public Assistance selected.</w:t>
      </w:r>
    </w:p>
    <w:p>
      <w:pPr>
        <w:spacing w:after="160"/>
        <w:ind w:left="403"/>
      </w:pPr>
      <w:r>
        <w:rPr>
          <w:b/>
          <w:color w:val="0B6E6E"/>
          <w:sz w:val="18"/>
        </w:rPr>
        <w:t xml:space="preserve">SAY </w:t>
      </w:r>
      <w:r>
        <w:rPr>
          <w:color w:val="202428"/>
          <w:sz w:val="26"/>
        </w:rPr>
        <w:t>Harvey, Irma and Maria hit close together and had to be tracked separately. These DR numbers are real public declarations — the dollars against them are synthetic. And per your taxonomy, for Public Assistance the disaster number IS the sub-grouping.</w:t>
      </w:r>
    </w:p>
    <w:p>
      <w:pPr>
        <w:spacing w:after="80"/>
        <w:ind w:left="403"/>
      </w:pPr>
      <w:r>
        <w:rPr>
          <w:b/>
          <w:color w:val="5A626B"/>
          <w:sz w:val="18"/>
        </w:rPr>
        <w:t xml:space="preserve">DO </w:t>
      </w:r>
      <w:r>
        <w:rPr>
          <w:color w:val="5A626B"/>
          <w:sz w:val="21"/>
        </w:rPr>
        <w:t>Flip the program to HSGP once.</w:t>
      </w:r>
    </w:p>
    <w:p>
      <w:pPr>
        <w:spacing w:after="160"/>
        <w:ind w:left="403"/>
      </w:pPr>
      <w:r>
        <w:rPr>
          <w:b/>
          <w:color w:val="0B6E6E"/>
          <w:sz w:val="18"/>
        </w:rPr>
        <w:t xml:space="preserve">SAY </w:t>
      </w:r>
      <w:r>
        <w:rPr>
          <w:color w:val="202428"/>
          <w:sz w:val="26"/>
        </w:rPr>
        <w:t>Non-disaster program — annual preparedness money, no disaster split. That disaster/non-disaster distinction is itself a field you asked for.</w:t>
      </w:r>
    </w:p>
    <w:p>
      <w:pPr>
        <w:spacing w:after="120"/>
        <w:ind w:left="403"/>
      </w:pPr>
      <w:r>
        <w:rPr>
          <w:i/>
          <w:color w:val="5A626B"/>
          <w:sz w:val="20"/>
        </w:rPr>
        <w:t>If asked why 2017 storms show spend in every year FY2022–26, or why it keeps growing: multi-year spend is real (no-year disaster money runs a decade+); the RISING shape is planted so the trigger has something to fire on — a real curve ramps, peaks, tails off.</w:t>
      </w:r>
    </w:p>
    <w:p>
      <w:pPr>
        <w:keepNext/>
        <w:spacing w:before="280" w:after="80"/>
      </w:pPr>
      <w:r>
        <w:rPr>
          <w:b/>
          <w:color w:val="1B2A4A"/>
          <w:sz w:val="26"/>
        </w:rPr>
        <w:t>3:30 — Screen 5 · Spend aggregation  (~30s)</w:t>
      </w:r>
    </w:p>
    <w:p>
      <w:pPr>
        <w:spacing w:after="80"/>
        <w:ind w:left="403"/>
      </w:pPr>
      <w:r>
        <w:rPr>
          <w:b/>
          <w:color w:val="5A626B"/>
          <w:sz w:val="18"/>
        </w:rPr>
        <w:t xml:space="preserve">DO </w:t>
      </w:r>
      <w:r>
        <w:rPr>
          <w:color w:val="5A626B"/>
          <w:sz w:val="21"/>
        </w:rPr>
        <w:t>Flip Group by to sub-program, then program. Point at the TAFS and Disaster? columns in the program view.</w:t>
      </w:r>
    </w:p>
    <w:p>
      <w:pPr>
        <w:spacing w:after="160"/>
        <w:ind w:left="403"/>
      </w:pPr>
      <w:r>
        <w:rPr>
          <w:b/>
          <w:color w:val="0B6E6E"/>
          <w:sz w:val="18"/>
        </w:rPr>
        <w:t xml:space="preserve">SAY </w:t>
      </w:r>
      <w:r>
        <w:rPr>
          <w:color w:val="202428"/>
          <w:sz w:val="26"/>
        </w:rPr>
        <w:t>Public data shows funding — obligations. Your problem is actual spend. This ledger is synthetic disbursements shaped against those public funding envelopes — funding is never presented as spend.</w:t>
      </w:r>
    </w:p>
    <w:p>
      <w:pPr>
        <w:spacing w:after="120"/>
        <w:ind w:left="403"/>
      </w:pPr>
      <w:r>
        <w:rPr>
          <w:i/>
          <w:color w:val="5A626B"/>
          <w:sz w:val="20"/>
        </w:rPr>
        <w:t>Say the funding-vs-spend distinction OUT LOUD — there is no on-screen caption.</w:t>
      </w:r>
    </w:p>
    <w:p>
      <w:pPr>
        <w:keepNext/>
        <w:spacing w:before="280" w:after="80"/>
      </w:pPr>
      <w:r>
        <w:rPr>
          <w:b/>
          <w:color w:val="1B2A4A"/>
          <w:sz w:val="26"/>
        </w:rPr>
        <w:t>4:00 — Screen 6 · YoY variance &amp; trigger  (~75s)  ★ wow #3 — the 2024 rule catch</w:t>
      </w:r>
    </w:p>
    <w:p>
      <w:pPr>
        <w:spacing w:after="160"/>
        <w:ind w:left="403"/>
      </w:pPr>
      <w:r>
        <w:rPr>
          <w:b/>
          <w:color w:val="0B6E6E"/>
          <w:sz w:val="18"/>
        </w:rPr>
        <w:t xml:space="preserve">SAY </w:t>
      </w:r>
      <w:r>
        <w:rPr>
          <w:color w:val="202428"/>
          <w:sz w:val="26"/>
        </w:rPr>
        <w:t>Here’s the centerpiece. Your team said “I think it’s like 20%” — so the threshold, the direction, the noise floor and the measures are configuration, on screen, not a magic number.</w:t>
      </w:r>
    </w:p>
    <w:p>
      <w:pPr>
        <w:spacing w:after="80"/>
        <w:ind w:left="403"/>
      </w:pPr>
      <w:r>
        <w:rPr>
          <w:b/>
          <w:color w:val="B06A00"/>
          <w:sz w:val="18"/>
        </w:rPr>
        <w:t xml:space="preserve">DO </w:t>
      </w:r>
      <w:r>
        <w:rPr>
          <w:color w:val="5A626B"/>
          <w:sz w:val="21"/>
        </w:rPr>
        <w:t>★ Point at the amber ⚑ bar — Individual Assistance.</w:t>
      </w:r>
    </w:p>
    <w:p>
      <w:pPr>
        <w:spacing w:after="160"/>
        <w:ind w:left="403"/>
      </w:pPr>
      <w:r>
        <w:rPr>
          <w:b/>
          <w:color w:val="0B6E6E"/>
          <w:sz w:val="18"/>
        </w:rPr>
        <w:t xml:space="preserve">SAY </w:t>
      </w:r>
      <w:r>
        <w:rPr>
          <w:color w:val="202428"/>
          <w:sz w:val="26"/>
        </w:rPr>
        <w:t>Dollars moved only +8% — inside the corridor. But the number of payments jumped +37.5%, and your 2024 change watches volume as well as dollars. The old dollar-only rule misses this program; yours catches it. That’s why the flag is amber: caught by transaction volume alone.</w:t>
      </w:r>
    </w:p>
    <w:p>
      <w:pPr>
        <w:spacing w:after="80"/>
        <w:ind w:left="403"/>
      </w:pPr>
      <w:r>
        <w:rPr>
          <w:b/>
          <w:color w:val="5A626B"/>
          <w:sz w:val="18"/>
        </w:rPr>
        <w:t xml:space="preserve">DO </w:t>
      </w:r>
      <w:r>
        <w:rPr>
          <w:color w:val="5A626B"/>
          <w:sz w:val="21"/>
        </w:rPr>
        <w:t>Untick “transaction volume” in the config — IA un-flags. Re-tick it.</w:t>
      </w:r>
    </w:p>
    <w:p>
      <w:pPr>
        <w:spacing w:after="80"/>
        <w:ind w:left="403"/>
      </w:pPr>
      <w:r>
        <w:rPr>
          <w:b/>
          <w:color w:val="B06A00"/>
          <w:sz w:val="18"/>
        </w:rPr>
        <w:t xml:space="preserve">DO </w:t>
      </w:r>
      <w:r>
        <w:rPr>
          <w:color w:val="5A626B"/>
          <w:sz w:val="21"/>
        </w:rPr>
        <w:t>★ Drag the threshold slider 20 → 35 (bars leave the corridor, KPI count drops). Drag to 10 — the +19% near-miss (US&amp;R) flips red. Set direction to “increase only” — the −31% program (HMGP) un-flags.</w:t>
      </w:r>
    </w:p>
    <w:p>
      <w:pPr>
        <w:spacing w:after="160"/>
        <w:ind w:left="403"/>
      </w:pPr>
      <w:r>
        <w:rPr>
          <w:b/>
          <w:color w:val="0B6E6E"/>
          <w:sz w:val="18"/>
        </w:rPr>
        <w:t xml:space="preserve">SAY </w:t>
      </w:r>
      <w:r>
        <w:rPr>
          <w:color w:val="202428"/>
          <w:sz w:val="26"/>
        </w:rPr>
        <w:t>And Mike’s decrease concern is exactly why “either direction” is the default.</w:t>
      </w:r>
    </w:p>
    <w:p>
      <w:pPr>
        <w:spacing w:after="80"/>
        <w:ind w:left="403"/>
      </w:pPr>
      <w:r>
        <w:rPr>
          <w:b/>
          <w:color w:val="5A626B"/>
          <w:sz w:val="18"/>
        </w:rPr>
        <w:t xml:space="preserve">DO </w:t>
      </w:r>
      <w:r>
        <w:rPr>
          <w:color w:val="5A626B"/>
          <w:sz w:val="21"/>
        </w:rPr>
        <w:t>Click Reset to config default.</w:t>
      </w:r>
    </w:p>
    <w:p>
      <w:pPr>
        <w:spacing w:after="160"/>
        <w:ind w:left="403"/>
      </w:pPr>
      <w:r>
        <w:rPr>
          <w:b/>
          <w:color w:val="0B6E6E"/>
          <w:sz w:val="18"/>
        </w:rPr>
        <w:t xml:space="preserve">SAY </w:t>
      </w:r>
      <w:r>
        <w:rPr>
          <w:color w:val="202428"/>
          <w:sz w:val="26"/>
        </w:rPr>
        <w:t>When your SME gives us the real rule, it’s a one-line config change — and the math is checkable by any auditor: current minus prior over prior, per measure.</w:t>
      </w:r>
    </w:p>
    <w:p>
      <w:pPr>
        <w:keepNext/>
        <w:spacing w:before="280" w:after="80"/>
      </w:pPr>
      <w:r>
        <w:rPr>
          <w:b/>
          <w:color w:val="1B2A4A"/>
          <w:sz w:val="26"/>
        </w:rPr>
        <w:t>5:15 — Screen 7 · PRA — computed answers  (~45s)</w:t>
      </w:r>
    </w:p>
    <w:p>
      <w:pPr>
        <w:spacing w:after="160"/>
        <w:ind w:left="403"/>
      </w:pPr>
      <w:r>
        <w:rPr>
          <w:b/>
          <w:color w:val="0B6E6E"/>
          <w:sz w:val="18"/>
        </w:rPr>
        <w:t xml:space="preserve">SAY </w:t>
      </w:r>
      <w:r>
        <w:rPr>
          <w:color w:val="202428"/>
          <w:sz w:val="26"/>
        </w:rPr>
        <w:t>The preliminary risk assessment: one fixed template, per-program data bindings. Eight of ten auto-populate from data you already hold; two route to the program office. This screen is the read-only evidence view — where every value came from; all input happens on the next screen. And note the wording: a program either starts with a preliminary or is already known to need a comprehensive — “preliminary” is the starting point, not a verdict. This questionnaire is an illustrative placeholder until we get your real instrument.</w:t>
      </w:r>
    </w:p>
    <w:p>
      <w:pPr>
        <w:spacing w:after="80"/>
        <w:ind w:left="403"/>
      </w:pPr>
      <w:r>
        <w:rPr>
          <w:b/>
          <w:color w:val="5A626B"/>
          <w:sz w:val="18"/>
        </w:rPr>
        <w:t xml:space="preserve">DO </w:t>
      </w:r>
      <w:r>
        <w:rPr>
          <w:color w:val="5A626B"/>
          <w:sz w:val="21"/>
        </w:rPr>
        <w:t>Open one question’s evidence; point at the labeled AI-suggested rationale.</w:t>
      </w:r>
    </w:p>
    <w:p>
      <w:pPr>
        <w:spacing w:after="160"/>
        <w:ind w:left="403"/>
      </w:pPr>
      <w:r>
        <w:rPr>
          <w:b/>
          <w:color w:val="0B6E6E"/>
          <w:sz w:val="18"/>
        </w:rPr>
        <w:t xml:space="preserve">SAY </w:t>
      </w:r>
      <w:r>
        <w:rPr>
          <w:color w:val="202428"/>
          <w:sz w:val="26"/>
        </w:rPr>
        <w:t>In this offline file the rationales are precomputed and deterministic — in the connected build a model writes them live, but it never computes a number either way.</w:t>
      </w:r>
    </w:p>
    <w:p>
      <w:pPr>
        <w:keepNext/>
        <w:spacing w:before="280" w:after="80"/>
      </w:pPr>
      <w:r>
        <w:rPr>
          <w:b/>
          <w:color w:val="1B2A4A"/>
          <w:sz w:val="26"/>
        </w:rPr>
        <w:t>6:00 — Screen 8 · Human review &amp; override  (~45s)</w:t>
      </w:r>
    </w:p>
    <w:p>
      <w:pPr>
        <w:spacing w:after="160"/>
        <w:ind w:left="403"/>
      </w:pPr>
      <w:r>
        <w:rPr>
          <w:b/>
          <w:color w:val="0B6E6E"/>
          <w:sz w:val="18"/>
        </w:rPr>
        <w:t xml:space="preserve">SAY </w:t>
      </w:r>
      <w:r>
        <w:rPr>
          <w:color w:val="202428"/>
          <w:sz w:val="26"/>
        </w:rPr>
        <w:t>And this is the only place decisions happen.</w:t>
      </w:r>
    </w:p>
    <w:p>
      <w:pPr>
        <w:spacing w:after="80"/>
        <w:ind w:left="403"/>
      </w:pPr>
      <w:r>
        <w:rPr>
          <w:b/>
          <w:color w:val="5A626B"/>
          <w:sz w:val="18"/>
        </w:rPr>
        <w:t xml:space="preserve">DO </w:t>
      </w:r>
      <w:r>
        <w:rPr>
          <w:color w:val="5A626B"/>
          <w:sz w:val="21"/>
        </w:rPr>
        <w:t>Approve a couple of answers. Override one — enter a value AND a reason (it refuses without one). Type answers into Q9/Q10, save, approve.</w:t>
      </w:r>
    </w:p>
    <w:p>
      <w:pPr>
        <w:spacing w:after="160"/>
        <w:ind w:left="403"/>
      </w:pPr>
      <w:r>
        <w:rPr>
          <w:b/>
          <w:color w:val="0B6E6E"/>
          <w:sz w:val="18"/>
        </w:rPr>
        <w:t xml:space="preserve">SAY </w:t>
      </w:r>
      <w:r>
        <w:rPr>
          <w:color w:val="202428"/>
          <w:sz w:val="26"/>
        </w:rPr>
        <w:t>Auto-populated is not auto-accepted. Every override captures a reason, everything lands in the audit trail, and the PRA cannot finalize until all ten are signed off.</w:t>
      </w:r>
    </w:p>
    <w:p>
      <w:pPr>
        <w:spacing w:after="80"/>
        <w:ind w:left="403"/>
      </w:pPr>
      <w:r>
        <w:rPr>
          <w:b/>
          <w:color w:val="5A626B"/>
          <w:sz w:val="18"/>
        </w:rPr>
        <w:t xml:space="preserve">DO </w:t>
      </w:r>
      <w:r>
        <w:rPr>
          <w:color w:val="5A626B"/>
          <w:sz w:val="21"/>
        </w:rPr>
        <w:t>(If time allows) Finalize and show the banner.</w:t>
      </w:r>
    </w:p>
    <w:p>
      <w:pPr>
        <w:keepNext/>
        <w:spacing w:before="280" w:after="80"/>
      </w:pPr>
      <w:r>
        <w:rPr>
          <w:b/>
          <w:color w:val="1B2A4A"/>
          <w:sz w:val="26"/>
        </w:rPr>
        <w:t>6:45 — Screen 9 · Assumptions &amp; validation  (~30s)</w:t>
      </w:r>
    </w:p>
    <w:p>
      <w:pPr>
        <w:spacing w:after="80"/>
        <w:ind w:left="403"/>
      </w:pPr>
      <w:r>
        <w:rPr>
          <w:b/>
          <w:color w:val="5A626B"/>
          <w:sz w:val="18"/>
        </w:rPr>
        <w:t xml:space="preserve">DO </w:t>
      </w:r>
      <w:r>
        <w:rPr>
          <w:color w:val="5A626B"/>
          <w:sz w:val="21"/>
        </w:rPr>
        <w:t>Click Run parity check — 260 recomputed values match the generator’s committed outputs.</w:t>
      </w:r>
    </w:p>
    <w:p>
      <w:pPr>
        <w:spacing w:after="160"/>
        <w:ind w:left="403"/>
      </w:pPr>
      <w:r>
        <w:rPr>
          <w:b/>
          <w:color w:val="0B6E6E"/>
          <w:sz w:val="18"/>
        </w:rPr>
        <w:t xml:space="preserve">SAY </w:t>
      </w:r>
      <w:r>
        <w:rPr>
          <w:color w:val="202428"/>
          <w:sz w:val="26"/>
        </w:rPr>
        <w:t>Because we couldn’t get internal data, we documented every assumption instead of guessing silently — here’s the register and the questions we need your SMEs to answer, starting with the blocking ones: the exact trigger rule, your extract layout, your real ten questions, your definition of spend — plus the new ones from your feedback: the WebFMIS field names, the exact 2024 count rule, and your fuller program list.</w:t>
      </w:r>
    </w:p>
    <w:p>
      <w:pPr>
        <w:keepNext/>
        <w:spacing w:before="280" w:after="80"/>
      </w:pPr>
      <w:r>
        <w:rPr>
          <w:b/>
          <w:color w:val="1B2A4A"/>
          <w:sz w:val="26"/>
        </w:rPr>
        <w:t>7:15 — Screen 10 · Export  (~30s)</w:t>
      </w:r>
    </w:p>
    <w:p>
      <w:pPr>
        <w:spacing w:after="80"/>
        <w:ind w:left="403"/>
      </w:pPr>
      <w:r>
        <w:rPr>
          <w:b/>
          <w:color w:val="5A626B"/>
          <w:sz w:val="18"/>
        </w:rPr>
        <w:t xml:space="preserve">DO </w:t>
      </w:r>
      <w:r>
        <w:rPr>
          <w:color w:val="5A626B"/>
          <w:sz w:val="21"/>
        </w:rPr>
        <w:t>Download the PRA report; open it.</w:t>
      </w:r>
    </w:p>
    <w:p>
      <w:pPr>
        <w:spacing w:after="160"/>
        <w:ind w:left="403"/>
      </w:pPr>
      <w:r>
        <w:rPr>
          <w:b/>
          <w:color w:val="0B6E6E"/>
          <w:sz w:val="18"/>
        </w:rPr>
        <w:t xml:space="preserve">SAY </w:t>
      </w:r>
      <w:r>
        <w:rPr>
          <w:color w:val="202428"/>
          <w:sz w:val="26"/>
        </w:rPr>
        <w:t>Excel-compatible and portable outputs — the legacy “macro” expectation honored, but with modern, auditable logic underneath. The headline now shows both measures — dollars and transaction volume. This export was generated by the browser itself; there is no server anywhere in this demo.</w:t>
      </w:r>
    </w:p>
    <w:p>
      <w:r>
        <w:br w:type="page"/>
      </w:r>
    </w:p>
    <w:p>
      <w:pPr>
        <w:keepNext/>
        <w:spacing w:before="280" w:after="80"/>
      </w:pPr>
      <w:r>
        <w:rPr>
          <w:b/>
          <w:color w:val="1B2A4A"/>
          <w:sz w:val="30"/>
        </w:rPr>
        <w:t>4 · The AI, in one breath  (≈1 min — use during Q&amp;A or after screen 8)</w:t>
      </w:r>
    </w:p>
    <w:p>
      <w:pPr>
        <w:spacing w:after="160"/>
        <w:ind w:left="403"/>
      </w:pPr>
      <w:r>
        <w:rPr>
          <w:b/>
          <w:color w:val="0B6E6E"/>
          <w:sz w:val="18"/>
        </w:rPr>
        <w:t xml:space="preserve">SAY </w:t>
      </w:r>
      <w:r>
        <w:rPr>
          <w:color w:val="202428"/>
          <w:sz w:val="26"/>
        </w:rPr>
        <w:t>The AI here is deliberately on the edges. The numbers an auditor would check — aggregation, the 20% trigger, the rollups — are plain, deterministic code. AI does three things: it proposes the undocumented mapping rules from your history, it explains results in plain language, and it scores confidence so your reviewers focus where it matters. It never invents a number, and nothing finalizes without a person.</w:t>
      </w:r>
    </w:p>
    <w:p>
      <w:pPr>
        <w:keepNext/>
        <w:spacing w:before="280" w:after="80"/>
      </w:pPr>
      <w:r>
        <w:rPr>
          <w:b/>
          <w:color w:val="A42A2A"/>
          <w:sz w:val="30"/>
        </w:rPr>
        <w:t>5 · What production actually takes — say this UNPROMPTED  (≈1 min)</w:t>
      </w:r>
    </w:p>
    <w:p>
      <w:pPr>
        <w:spacing w:after="160"/>
        <w:ind w:left="403"/>
      </w:pPr>
      <w:r>
        <w:rPr>
          <w:b/>
          <w:color w:val="0B6E6E"/>
          <w:sz w:val="18"/>
        </w:rPr>
        <w:t xml:space="preserve">SAY </w:t>
      </w:r>
      <w:r>
        <w:rPr>
          <w:color w:val="202428"/>
          <w:sz w:val="26"/>
        </w:rPr>
        <w:t>One thing I want to be straight about: this is not plug-and-play. What you saw today runs on public information and dummy spend. The real work starts after: getting access to the financial system and building the actual extract — that’s the big lift; writing the SOPs, job aids and desk guides your people would run this with; setting up the governance around who approves what; and working the cloud question with your OCIO — which tools you have access to, how cost-sharing works, and the timeline for that. We’ve seen that negotiation alone take a year-plus elsewhere. And your financial system of record is modernizing, with go-live around October 1 — the program-ID data pool comes from that system, so some of this can’t be built until it lands. That’s exactly why this demo is file-in/file-out: it’s built to be portable across that migration.</w:t>
      </w:r>
    </w:p>
    <w:p>
      <w:pPr>
        <w:keepNext/>
        <w:spacing w:before="280" w:after="80"/>
      </w:pPr>
      <w:r>
        <w:rPr>
          <w:b/>
          <w:color w:val="1B2A4A"/>
          <w:sz w:val="30"/>
        </w:rPr>
        <w:t>6 · Next steps — the two asks  (≈1 min)</w:t>
      </w:r>
    </w:p>
    <w:p>
      <w:pPr>
        <w:spacing w:after="160"/>
        <w:ind w:left="403"/>
      </w:pPr>
      <w:r>
        <w:rPr>
          <w:b/>
          <w:color w:val="0B6E6E"/>
          <w:sz w:val="18"/>
        </w:rPr>
        <w:t xml:space="preserve">SAY </w:t>
      </w:r>
      <w:r>
        <w:rPr>
          <w:color w:val="202428"/>
          <w:sz w:val="26"/>
        </w:rPr>
        <w:t>Two asks. First, the blocking questions: the exact trigger rule — including how the 2024 transaction-volume change works; what your extract looks like, including the fund-symbol and disbursement-type fields; your real ten questions; and your definition of spend. Second, help us chase the SOP and confirm the fuller program list you offered. From there we can scope a pilot — including cloud and security.</w:t>
      </w:r>
    </w:p>
    <w:p>
      <w:pPr>
        <w:spacing w:after="160"/>
        <w:ind w:left="403"/>
      </w:pPr>
      <w:r>
        <w:rPr>
          <w:b/>
          <w:color w:val="0B6E6E"/>
          <w:sz w:val="18"/>
        </w:rPr>
        <w:t xml:space="preserve">SAY </w:t>
      </w:r>
      <w:r>
        <w:rPr>
          <w:color w:val="202428"/>
          <w:sz w:val="24"/>
        </w:rPr>
        <w:t>Close on: feasible today, validated with you, production-scoped separately.</w:t>
      </w:r>
    </w:p>
    <w:p>
      <w:pPr>
        <w:keepNext/>
        <w:spacing w:before="280" w:after="80"/>
      </w:pPr>
      <w:r>
        <w:rPr>
          <w:b/>
          <w:color w:val="1B2A4A"/>
          <w:sz w:val="30"/>
        </w:rPr>
        <w:t>7 · Q&amp;A quick answers</w:t>
      </w:r>
    </w:p>
    <w:tbl>
      <w:tblPr>
        <w:tblStyle w:val="LightGrid-Accent1"/>
        <w:tblW w:type="auto" w:w="0"/>
        <w:tblLook w:firstColumn="1" w:firstRow="1" w:lastColumn="0" w:lastRow="0" w:noHBand="0" w:noVBand="1" w:val="04A0"/>
      </w:tblPr>
      <w:tblGrid>
        <w:gridCol w:w="4968"/>
        <w:gridCol w:w="4968"/>
      </w:tblGrid>
      <w:tr>
        <w:tc>
          <w:tcPr>
            <w:tcW w:type="dxa" w:w="3312"/>
          </w:tcPr>
          <w:p>
            <w:r>
              <w:rPr>
                <w:b/>
              </w:rPr>
              <w:t>They ask</w:t>
            </w:r>
          </w:p>
        </w:tc>
        <w:tc>
          <w:tcPr>
            <w:tcW w:type="dxa" w:w="6624"/>
          </w:tcPr>
          <w:p>
            <w:r>
              <w:rPr>
                <w:b/>
              </w:rPr>
              <w:t>You say</w:t>
            </w:r>
          </w:p>
        </w:tc>
      </w:tr>
      <w:tr>
        <w:tc>
          <w:tcPr>
            <w:tcW w:type="dxa" w:w="3312"/>
          </w:tcPr>
          <w:p>
            <w:r>
              <w:rPr>
                <w:b/>
                <w:sz w:val="20"/>
              </w:rPr>
              <w:t>“Is this real FEMA data?”</w:t>
            </w:r>
          </w:p>
        </w:tc>
        <w:tc>
          <w:tcPr>
            <w:tcW w:type="dxa" w:w="6624"/>
          </w:tcPr>
          <w:p>
            <w:r>
              <w:rPr>
                <w:sz w:val="20"/>
              </w:rPr>
              <w:t>The program names are real and public; every dollar, code, fund symbol and disbursement type is dummy data, watermarked. No real spend, no PII.</w:t>
            </w:r>
          </w:p>
        </w:tc>
      </w:tr>
      <w:tr>
        <w:tc>
          <w:tcPr>
            <w:tcW w:type="dxa" w:w="3312"/>
          </w:tcPr>
          <w:p>
            <w:r>
              <w:rPr>
                <w:b/>
                <w:sz w:val="20"/>
              </w:rPr>
              <w:t>“Are those our real programs?”</w:t>
            </w:r>
          </w:p>
        </w:tc>
        <w:tc>
          <w:tcPr>
            <w:tcW w:type="dxa" w:w="6624"/>
          </w:tcPr>
          <w:p>
            <w:r>
              <w:rPr>
                <w:sz w:val="20"/>
              </w:rPr>
              <w:t>The five names are the real public programs your team pointed us to, with the sub-structures you described — PA grouped by disaster number, IA’s three components, HSGP’s three. Your fuller 8–10 list drops in as a config change.</w:t>
            </w:r>
          </w:p>
        </w:tc>
      </w:tr>
      <w:tr>
        <w:tc>
          <w:tcPr>
            <w:tcW w:type="dxa" w:w="3312"/>
          </w:tcPr>
          <w:p>
            <w:r>
              <w:rPr>
                <w:b/>
                <w:sz w:val="20"/>
              </w:rPr>
              <w:t>“Harvey/Irma/Maria were 2017 — why FY2022–26 spend, and why rising?”</w:t>
            </w:r>
          </w:p>
        </w:tc>
        <w:tc>
          <w:tcPr>
            <w:tcW w:type="dxa" w:w="6624"/>
          </w:tcPr>
          <w:p>
            <w:r>
              <w:rPr>
                <w:sz w:val="20"/>
              </w:rPr>
              <w:t>Multi-year spend against one declaration is genuine FEMA behavior — no-year disaster money. The rising shape is synthetic, planted to exercise the trigger; realistic curve shape is an SME-validation item.</w:t>
            </w:r>
          </w:p>
        </w:tc>
      </w:tr>
      <w:tr>
        <w:tc>
          <w:tcPr>
            <w:tcW w:type="dxa" w:w="3312"/>
          </w:tcPr>
          <w:p>
            <w:r>
              <w:rPr>
                <w:b/>
                <w:sz w:val="20"/>
              </w:rPr>
              <w:t>“Where did the 20% come from?”</w:t>
            </w:r>
          </w:p>
        </w:tc>
        <w:tc>
          <w:tcPr>
            <w:tcW w:type="dxa" w:w="6624"/>
          </w:tcPr>
          <w:p>
            <w:r>
              <w:rPr>
                <w:sz w:val="20"/>
              </w:rPr>
              <w:t>Your team, hedged — that’s exactly why it’s a slider, and why the exact rule is our top question. Your 2024 transaction-volume change is built in, both directions.</w:t>
            </w:r>
          </w:p>
        </w:tc>
      </w:tr>
      <w:tr>
        <w:tc>
          <w:tcPr>
            <w:tcW w:type="dxa" w:w="3312"/>
          </w:tcPr>
          <w:p>
            <w:r>
              <w:rPr>
                <w:b/>
                <w:sz w:val="20"/>
              </w:rPr>
              <w:t>“Are those our real questions?”</w:t>
            </w:r>
          </w:p>
        </w:tc>
        <w:tc>
          <w:tcPr>
            <w:tcW w:type="dxa" w:w="6624"/>
          </w:tcPr>
          <w:p>
            <w:r>
              <w:rPr>
                <w:sz w:val="20"/>
              </w:rPr>
              <w:t>No — an illustrative placeholder built on the federal payment-integrity factors. We need your instrument.</w:t>
            </w:r>
          </w:p>
        </w:tc>
      </w:tr>
      <w:tr>
        <w:tc>
          <w:tcPr>
            <w:tcW w:type="dxa" w:w="3312"/>
          </w:tcPr>
          <w:p>
            <w:r>
              <w:rPr>
                <w:b/>
                <w:sz w:val="20"/>
              </w:rPr>
              <w:t>“Is it production-ready?”</w:t>
            </w:r>
          </w:p>
        </w:tc>
        <w:tc>
          <w:tcPr>
            <w:tcW w:type="dxa" w:w="6624"/>
          </w:tcPr>
          <w:p>
            <w:r>
              <w:rPr>
                <w:sz w:val="20"/>
              </w:rPr>
              <w:t>No. This is the art of the possible. Production means financial-system access, SOPs, job aids, desk guides, governance, security and the OCIO work — a scoped effort, not a hand-off. The October-1 modernization is a dependency; the design ports across it.</w:t>
            </w:r>
          </w:p>
        </w:tc>
      </w:tr>
      <w:tr>
        <w:tc>
          <w:tcPr>
            <w:tcW w:type="dxa" w:w="3312"/>
          </w:tcPr>
          <w:p>
            <w:r>
              <w:rPr>
                <w:b/>
                <w:sz w:val="20"/>
              </w:rPr>
              <w:t>“Can it run in our cloud?”</w:t>
            </w:r>
          </w:p>
        </w:tc>
        <w:tc>
          <w:tcPr>
            <w:tcW w:type="dxa" w:w="6624"/>
          </w:tcPr>
          <w:p>
            <w:r>
              <w:rPr>
                <w:sz w:val="20"/>
              </w:rPr>
              <w:t>Built cloud-portable; exact platform, access and cost-sharing are the OCIO conversation. The demo runs on a laptop with the wifi off.</w:t>
            </w:r>
          </w:p>
        </w:tc>
      </w:tr>
      <w:tr>
        <w:tc>
          <w:tcPr>
            <w:tcW w:type="dxa" w:w="3312"/>
          </w:tcPr>
          <w:p>
            <w:r>
              <w:rPr>
                <w:b/>
                <w:sz w:val="20"/>
              </w:rPr>
              <w:t>“Why does it work with wifi off?”</w:t>
            </w:r>
          </w:p>
        </w:tc>
        <w:tc>
          <w:tcPr>
            <w:tcW w:type="dxa" w:w="6624"/>
          </w:tcPr>
          <w:p>
            <w:r>
              <w:rPr>
                <w:sz w:val="20"/>
              </w:rPr>
              <w:t>Single self-contained file: data, logic and precomputed AI text are embedded; nothing is fetched, nothing is stored.</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42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