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03A2E"/>
          <w:sz w:val="18"/>
          <w:szCs w:val="18"/>
        </w:rPr>
        <w:t xml:space="preserve">DRAFT FOR INTERNAL REVIEW — NOT YET SENT TO FEMA</w:t>
      </w:r>
    </w:p>
    <w:p>
      <w:pPr>
        <w:pBdr>
          <w:bottom w:val="single" w:color="1F3A5F" w:sz="12" w:space="8"/>
        </w:pBdr>
        <w:spacing w:after="60"/>
      </w:pPr>
      <w:r>
        <w:rPr>
          <w:rFonts w:ascii="Calibri" w:cs="Calibri" w:eastAsia="Calibri" w:hAnsi="Calibri"/>
          <w:b/>
          <w:bCs/>
          <w:color w:val="1F3A5F"/>
          <w:sz w:val="40"/>
          <w:szCs w:val="40"/>
        </w:rPr>
        <w:t xml:space="preserve">Proposed Acceptance Criteria</w:t>
      </w:r>
    </w:p>
    <w:p>
      <w:pPr>
        <w:spacing w:after="260" w:before="140"/>
      </w:pPr>
      <w:r>
        <w:rPr>
          <w:rFonts w:ascii="Calibri" w:cs="Calibri" w:eastAsia="Calibri" w:hAnsi="Calibri"/>
          <w:color w:val="44546A"/>
          <w:sz w:val="24"/>
          <w:szCs w:val="24"/>
        </w:rPr>
        <w:t xml:space="preserve">FEMA PIIA Proof of Concept — Program Identification and Preliminary Risk Assessment Automation</w:t>
      </w:r>
    </w:p>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Deliverable</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Acceptance criteria proposed by Guidehouse within ten business days of the period-of-performance start (FFP pricing template, Assumptions #2).</w:t>
            </w:r>
          </w:p>
        </w:tc>
      </w:tr>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Contract</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Task order 70FA3126F00000042 under GS00F045DA, modification P00001, CLIN 0010 — Additional In-Scope Work.</w:t>
            </w:r>
          </w:p>
        </w:tc>
      </w:tr>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Period of performance</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2026-09-18 – 2027-02-18</w:t>
            </w:r>
          </w:p>
        </w:tc>
      </w:tr>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Scope hook</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PWS 5.8.2 / 5.8.3 / 5.8.4. Which paragraph carries PIIA is not stated in the modification; 5.8.4 Analytics Reporting Services is the expected fit and is on the confirmation list in section 2.</w:t>
            </w:r>
          </w:p>
        </w:tc>
      </w:tr>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Due</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2026-10-01 or 2026-10-02, depending on how the ten business days are counted from a Friday start — see section 2, item 6.</w:t>
            </w:r>
          </w:p>
        </w:tc>
      </w:tr>
      <w:tr>
        <w:tc>
          <w:tcPr>
            <w:tcW w:type="dxa" w:w="2400"/>
            <w:tcBorders>
              <w:top w:val="none"/>
              <w:left w:val="none"/>
              <w:bottom w:val="none"/>
              <w:right w:val="none"/>
            </w:tcBorders>
            <w:tcMar>
              <w:top w:type="dxa" w:w="50"/>
              <w:left w:type="dxa" w:w="0"/>
              <w:bottom w:type="dxa" w:w="50"/>
              <w:right w:type="dxa" w:w="160"/>
            </w:tcMar>
          </w:tcPr>
          <w:p>
            <w:pPr>
              <w:spacing w:after="0"/>
            </w:pPr>
            <w:r>
              <w:rPr>
                <w:rFonts w:ascii="Calibri" w:cs="Calibri" w:eastAsia="Calibri" w:hAnsi="Calibri"/>
                <w:b/>
                <w:bCs/>
                <w:color w:val="44546A"/>
                <w:sz w:val="19"/>
                <w:szCs w:val="19"/>
              </w:rPr>
              <w:t xml:space="preserve">Solution</w:t>
            </w:r>
          </w:p>
        </w:tc>
        <w:tc>
          <w:tcPr>
            <w:tcW w:type="dxa" w:w="6960"/>
            <w:tcBorders>
              <w:top w:val="none"/>
              <w:left w:val="none"/>
              <w:bottom w:val="none"/>
              <w:right w:val="none"/>
            </w:tcBorders>
            <w:tcMar>
              <w:top w:type="dxa" w:w="50"/>
              <w:left w:type="dxa" w:w="0"/>
              <w:bottom w:type="dxa" w:w="50"/>
              <w:right w:type="dxa" w:w="0"/>
            </w:tcMar>
          </w:tcPr>
          <w:p>
            <w:pPr>
              <w:spacing w:after="0" w:line="252"/>
            </w:pPr>
            <w:r>
              <w:rPr>
                <w:rFonts w:ascii="Calibri" w:cs="Calibri" w:eastAsia="Calibri" w:hAnsi="Calibri"/>
                <w:sz w:val="19"/>
                <w:szCs w:val="19"/>
              </w:rPr>
              <w:t xml:space="preserve">Program Identification and Preliminary Risk Assessment (PIIA) automation, delivered as a proof of concept inside FEMADex.</w:t>
            </w:r>
          </w:p>
        </w:tc>
      </w:tr>
    </w:tbl>
    <w:p>
      <w:pPr>
        <w:spacing w:after="260"/>
      </w:pPr>
      <w:r>
        <w:rPr>
          <w:sz w:val="8"/>
          <w:szCs w:val="8"/>
        </w:rPr>
        <w:t xml:space="preserve"/>
      </w:r>
    </w:p>
    <w:p>
      <w:pPr>
        <w:pStyle w:val="Heading1"/>
        <w:spacing w:after="160" w:before="360"/>
      </w:pPr>
      <w:r>
        <w:rPr>
          <w:rFonts w:ascii="Calibri" w:cs="Calibri" w:eastAsia="Calibri" w:hAnsi="Calibri"/>
          <w:b/>
          <w:bCs/>
          <w:color w:val="1F3A5F"/>
          <w:sz w:val="26"/>
          <w:szCs w:val="26"/>
        </w:rPr>
        <w:t xml:space="preserve">1.  Purpose and how to read this document</w:t>
      </w:r>
    </w:p>
    <w:p>
      <w:pPr>
        <w:spacing w:after="140" w:line="264"/>
      </w:pPr>
      <w:r>
        <w:rPr>
          <w:rFonts w:ascii="Calibri" w:cs="Calibri" w:eastAsia="Calibri" w:hAnsi="Calibri"/>
          <w:sz w:val="21"/>
          <w:szCs w:val="21"/>
        </w:rPr>
        <w:t xml:space="preserve">This document proposes what "done" means for the PIIA proof of concept, so that acceptance at the end of the period of performance is a check against agreed statements rather than a negotiation.</w:t>
      </w:r>
    </w:p>
    <w:p>
      <w:pPr>
        <w:spacing w:after="140" w:line="264"/>
      </w:pPr>
      <w:r>
        <w:rPr>
          <w:rFonts w:ascii="Calibri" w:cs="Calibri" w:eastAsia="Calibri" w:hAnsi="Calibri"/>
          <w:sz w:val="21"/>
          <w:szCs w:val="21"/>
        </w:rPr>
        <w:t xml:space="preserve">Each criterion below is written to be </w:t>
      </w:r>
      <w:r>
        <w:rPr>
          <w:rFonts w:ascii="Calibri" w:cs="Calibri" w:eastAsia="Calibri" w:hAnsi="Calibri"/>
          <w:b/>
          <w:bCs/>
          <w:sz w:val="21"/>
          <w:szCs w:val="21"/>
        </w:rPr>
        <w:t xml:space="preserve">demonstrable</w:t>
      </w:r>
      <w:r>
        <w:rPr>
          <w:rFonts w:ascii="Calibri" w:cs="Calibri" w:eastAsia="Calibri" w:hAnsi="Calibri"/>
          <w:sz w:val="21"/>
          <w:szCs w:val="21"/>
        </w:rPr>
        <w:t xml:space="preserve">: it names the artifact, query or on-screen action that shows it is met, and a pass condition that two people looking at the same evidence would score the same way. Criteria that could only be settled by opinion have been rewritten or moved to section 5.</w:t>
      </w:r>
    </w:p>
    <w:p>
      <w:pPr>
        <w:spacing w:after="140" w:line="264"/>
      </w:pPr>
      <w:r>
        <w:rPr>
          <w:rFonts w:ascii="Calibri" w:cs="Calibri" w:eastAsia="Calibri" w:hAnsi="Calibri"/>
          <w:sz w:val="21"/>
          <w:szCs w:val="21"/>
        </w:rPr>
        <w:t xml:space="preserve">Three things this document deliberately does </w:t>
      </w:r>
      <w:r>
        <w:rPr>
          <w:rFonts w:ascii="Calibri" w:cs="Calibri" w:eastAsia="Calibri" w:hAnsi="Calibri"/>
          <w:b/>
          <w:bCs/>
          <w:sz w:val="21"/>
          <w:szCs w:val="21"/>
        </w:rPr>
        <w:t xml:space="preserve">not</w:t>
      </w:r>
      <w:r>
        <w:rPr>
          <w:rFonts w:ascii="Calibri" w:cs="Calibri" w:eastAsia="Calibri" w:hAnsi="Calibri"/>
          <w:sz w:val="21"/>
          <w:szCs w:val="21"/>
        </w:rPr>
        <w:t xml:space="preserve"> do:</w:t>
      </w:r>
    </w:p>
    <w:p>
      <w:pPr>
        <w:pStyle w:val="ListParagraph"/>
        <w:numPr>
          <w:ilvl w:val="0"/>
          <w:numId w:val="2"/>
        </w:numPr>
        <w:spacing w:after="100" w:line="264"/>
      </w:pPr>
      <w:r>
        <w:rPr>
          <w:rFonts w:ascii="Calibri" w:cs="Calibri" w:eastAsia="Calibri" w:hAnsi="Calibri"/>
          <w:sz w:val="21"/>
          <w:szCs w:val="21"/>
        </w:rPr>
        <w:t xml:space="preserve">It does not promise an accuracy percentage for automated mapping or for AI-proposed rules on data we have not yet seen. Section 5 explains what is measured and reported instead, and why that is the more useful commitment.</w:t>
      </w:r>
    </w:p>
    <w:p>
      <w:pPr>
        <w:pStyle w:val="ListParagraph"/>
        <w:numPr>
          <w:ilvl w:val="0"/>
          <w:numId w:val="2"/>
        </w:numPr>
        <w:spacing w:after="100" w:line="264"/>
      </w:pPr>
      <w:r>
        <w:rPr>
          <w:rFonts w:ascii="Calibri" w:cs="Calibri" w:eastAsia="Calibri" w:hAnsi="Calibri"/>
          <w:sz w:val="21"/>
          <w:szCs w:val="21"/>
        </w:rPr>
        <w:t xml:space="preserve">It does not accept criteria that depend on FEMA-provided inputs arriving, without also stating what happens if they do not. Section 3 covers that.</w:t>
      </w:r>
    </w:p>
    <w:p>
      <w:pPr>
        <w:pStyle w:val="ListParagraph"/>
        <w:numPr>
          <w:ilvl w:val="0"/>
          <w:numId w:val="2"/>
        </w:numPr>
        <w:spacing w:after="100" w:line="264"/>
      </w:pPr>
      <w:r>
        <w:rPr>
          <w:rFonts w:ascii="Calibri" w:cs="Calibri" w:eastAsia="Calibri" w:hAnsi="Calibri"/>
          <w:sz w:val="21"/>
          <w:szCs w:val="21"/>
        </w:rPr>
        <w:t xml:space="preserve">It does not extend the proof of concept toward production. Section 4 lists what is outside acceptance.</w:t>
      </w:r>
    </w:p>
    <w:p>
      <w:pPr>
        <w:pStyle w:val="Heading1"/>
        <w:spacing w:after="160" w:before="360"/>
      </w:pPr>
      <w:r>
        <w:rPr>
          <w:rFonts w:ascii="Calibri" w:cs="Calibri" w:eastAsia="Calibri" w:hAnsi="Calibri"/>
          <w:b/>
          <w:bCs/>
          <w:color w:val="1F3A5F"/>
          <w:sz w:val="26"/>
          <w:szCs w:val="26"/>
        </w:rPr>
        <w:t xml:space="preserve">2.  Basis — points to confirm before this is signed</w:t>
      </w:r>
    </w:p>
    <w:p>
      <w:pPr>
        <w:spacing w:after="140" w:line="264"/>
      </w:pPr>
      <w:r>
        <w:rPr>
          <w:rFonts w:ascii="Calibri" w:cs="Calibri" w:eastAsia="Calibri" w:hAnsi="Calibri"/>
          <w:sz w:val="21"/>
          <w:szCs w:val="21"/>
        </w:rPr>
        <w:t xml:space="preserve">These criteria are written against the pricing template’s Assumptions tab. </w:t>
      </w:r>
      <w:r>
        <w:rPr>
          <w:rFonts w:ascii="Calibri" w:cs="Calibri" w:eastAsia="Calibri" w:hAnsi="Calibri"/>
          <w:b/>
          <w:bCs/>
          <w:sz w:val="21"/>
          <w:szCs w:val="21"/>
        </w:rPr>
        <w:t xml:space="preserve">Modification P00001 does not restate those assumptions</w:t>
      </w:r>
      <w:r>
        <w:rPr>
          <w:rFonts w:ascii="Calibri" w:cs="Calibri" w:eastAsia="Calibri" w:hAnsi="Calibri"/>
          <w:sz w:val="21"/>
          <w:szCs w:val="21"/>
        </w:rPr>
        <w:t xml:space="preserve">, and its three pages reference the PWS rather than the consolidated SOW. We therefore ask FEMA to confirm the following, so that both parties are measuring against the same scope:</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620"/>
        <w:gridCol w:w="4100"/>
        <w:gridCol w:w="4640"/>
      </w:tblGrid>
      <w:tr>
        <w:trPr>
          <w:tblHeader/>
        </w:trPr>
        <w:tc>
          <w:tcPr>
            <w:tcW w:type="dxa" w:w="62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w:t>
            </w:r>
          </w:p>
        </w:tc>
        <w:tc>
          <w:tcPr>
            <w:tcW w:type="dxa" w:w="41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To confirm</w:t>
            </w:r>
          </w:p>
        </w:tc>
        <w:tc>
          <w:tcPr>
            <w:tcW w:type="dxa" w:w="464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Why it matters here</w:t>
            </w:r>
          </w:p>
        </w:tc>
      </w:tr>
      <w:tr>
        <w:tc>
          <w:tcPr>
            <w:tcW w:type="dxa" w:w="620"/>
            <w:tcMar>
              <w:top w:type="dxa" w:w="90"/>
              <w:left w:type="dxa" w:w="120"/>
              <w:bottom w:type="dxa" w:w="90"/>
              <w:right w:type="dxa" w:w="120"/>
            </w:tcMar>
          </w:tcPr>
          <w:p>
            <w:pPr>
              <w:spacing w:after="0" w:line="252"/>
            </w:pPr>
            <w:r>
              <w:rPr>
                <w:rFonts w:ascii="Calibri" w:cs="Calibri" w:eastAsia="Calibri" w:hAnsi="Calibri"/>
                <w:sz w:val="18"/>
                <w:szCs w:val="18"/>
              </w:rPr>
              <w:t xml:space="preserve">1</w:t>
            </w:r>
          </w:p>
        </w:tc>
        <w:tc>
          <w:tcPr>
            <w:tcW w:type="dxa" w:w="4100"/>
            <w:tcMar>
              <w:top w:type="dxa" w:w="90"/>
              <w:left w:type="dxa" w:w="120"/>
              <w:bottom w:type="dxa" w:w="90"/>
              <w:right w:type="dxa" w:w="120"/>
            </w:tcMar>
          </w:tcPr>
          <w:p>
            <w:pPr>
              <w:spacing w:after="0" w:line="252"/>
            </w:pPr>
            <w:r>
              <w:rPr>
                <w:rFonts w:ascii="Calibri" w:cs="Calibri" w:eastAsia="Calibri" w:hAnsi="Calibri"/>
                <w:sz w:val="18"/>
                <w:szCs w:val="18"/>
              </w:rPr>
              <w:t xml:space="preserve">Which document governs PIIA scope: the PWS paragraph, the consolidated SOW, or the quote’s Assumptions tab</w:t>
            </w:r>
          </w:p>
        </w:tc>
        <w:tc>
          <w:tcPr>
            <w:tcW w:type="dxa" w:w="4640"/>
            <w:tcMar>
              <w:top w:type="dxa" w:w="90"/>
              <w:left w:type="dxa" w:w="120"/>
              <w:bottom w:type="dxa" w:w="90"/>
              <w:right w:type="dxa" w:w="120"/>
            </w:tcMar>
          </w:tcPr>
          <w:p>
            <w:pPr>
              <w:spacing w:after="0" w:line="252"/>
            </w:pPr>
            <w:r>
              <w:rPr>
                <w:rFonts w:ascii="Calibri" w:cs="Calibri" w:eastAsia="Calibri" w:hAnsi="Calibri"/>
                <w:sz w:val="18"/>
                <w:szCs w:val="18"/>
              </w:rPr>
              <w:t xml:space="preserve">Determines whether the SOW’s "Phase 2 Full Implementation" is in or out of this modification. Every criterion below assumes </w:t>
            </w:r>
            <w:r>
              <w:rPr>
                <w:rFonts w:ascii="Calibri" w:cs="Calibri" w:eastAsia="Calibri" w:hAnsi="Calibri"/>
                <w:b/>
                <w:bCs/>
                <w:sz w:val="18"/>
                <w:szCs w:val="18"/>
              </w:rPr>
              <w:t xml:space="preserve">proof of concept only</w:t>
            </w:r>
          </w:p>
        </w:tc>
      </w:tr>
      <w:tr>
        <w:tc>
          <w:tcPr>
            <w:tcW w:type="dxa" w:w="6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2</w:t>
            </w:r>
          </w:p>
        </w:tc>
        <w:tc>
          <w:tcPr>
            <w:tcW w:type="dxa" w:w="41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That production deployment remains excluded</w:t>
            </w:r>
          </w:p>
        </w:tc>
        <w:tc>
          <w:tcPr>
            <w:tcW w:type="dxa" w:w="46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Assumptions tab states it; the modification does not repeat it</w:t>
            </w:r>
          </w:p>
        </w:tc>
      </w:tr>
      <w:tr>
        <w:tc>
          <w:tcPr>
            <w:tcW w:type="dxa" w:w="620"/>
            <w:tcMar>
              <w:top w:type="dxa" w:w="90"/>
              <w:left w:type="dxa" w:w="120"/>
              <w:bottom w:type="dxa" w:w="90"/>
              <w:right w:type="dxa" w:w="120"/>
            </w:tcMar>
          </w:tcPr>
          <w:p>
            <w:pPr>
              <w:spacing w:after="0" w:line="252"/>
            </w:pPr>
            <w:r>
              <w:rPr>
                <w:rFonts w:ascii="Calibri" w:cs="Calibri" w:eastAsia="Calibri" w:hAnsi="Calibri"/>
                <w:sz w:val="18"/>
                <w:szCs w:val="18"/>
              </w:rPr>
              <w:t xml:space="preserve">3</w:t>
            </w:r>
          </w:p>
        </w:tc>
        <w:tc>
          <w:tcPr>
            <w:tcW w:type="dxa" w:w="4100"/>
            <w:tcMar>
              <w:top w:type="dxa" w:w="90"/>
              <w:left w:type="dxa" w:w="120"/>
              <w:bottom w:type="dxa" w:w="90"/>
              <w:right w:type="dxa" w:w="120"/>
            </w:tcMar>
          </w:tcPr>
          <w:p>
            <w:pPr>
              <w:spacing w:after="0" w:line="252"/>
            </w:pPr>
            <w:r>
              <w:rPr>
                <w:rFonts w:ascii="Calibri" w:cs="Calibri" w:eastAsia="Calibri" w:hAnsi="Calibri"/>
                <w:sz w:val="18"/>
                <w:szCs w:val="18"/>
              </w:rPr>
              <w:t xml:space="preserve">Planning quantities: </w:t>
            </w:r>
            <w:r>
              <w:rPr>
                <w:rFonts w:ascii="Calibri" w:cs="Calibri" w:eastAsia="Calibri" w:hAnsi="Calibri"/>
                <w:b/>
                <w:bCs/>
                <w:sz w:val="18"/>
                <w:szCs w:val="18"/>
              </w:rPr>
              <w:t xml:space="preserve">20 programs, FY2024–FY2026</w:t>
            </w:r>
          </w:p>
        </w:tc>
        <w:tc>
          <w:tcPr>
            <w:tcW w:type="dxa" w:w="4640"/>
            <w:tcMar>
              <w:top w:type="dxa" w:w="90"/>
              <w:left w:type="dxa" w:w="120"/>
              <w:bottom w:type="dxa" w:w="90"/>
              <w:right w:type="dxa" w:w="120"/>
            </w:tcMar>
          </w:tcPr>
          <w:p>
            <w:pPr>
              <w:spacing w:after="0" w:line="252"/>
            </w:pPr>
            <w:r>
              <w:rPr>
                <w:rFonts w:ascii="Calibri" w:cs="Calibri" w:eastAsia="Calibri" w:hAnsi="Calibri"/>
                <w:sz w:val="18"/>
                <w:szCs w:val="18"/>
              </w:rPr>
              <w:t xml:space="preserve">AC-06, AC-08 and AC-13 are scoped by these numbers</w:t>
            </w:r>
          </w:p>
        </w:tc>
      </w:tr>
      <w:tr>
        <w:tc>
          <w:tcPr>
            <w:tcW w:type="dxa" w:w="6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4</w:t>
            </w:r>
          </w:p>
        </w:tc>
        <w:tc>
          <w:tcPr>
            <w:tcW w:type="dxa" w:w="41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That FIMS extracts are due </w:t>
            </w:r>
            <w:r>
              <w:rPr>
                <w:rFonts w:ascii="Calibri" w:cs="Calibri" w:eastAsia="Calibri" w:hAnsi="Calibri"/>
                <w:b/>
                <w:bCs/>
                <w:sz w:val="18"/>
                <w:szCs w:val="18"/>
              </w:rPr>
              <w:t xml:space="preserve">2026-12-15</w:t>
            </w:r>
            <w:r>
              <w:rPr>
                <w:rFonts w:ascii="Calibri" w:cs="Calibri" w:eastAsia="Calibri" w:hAnsi="Calibri"/>
                <w:sz w:val="18"/>
                <w:szCs w:val="18"/>
              </w:rPr>
              <w:t xml:space="preserve">, with a WebIFMIS-only delivery if they do not arrive</w:t>
            </w:r>
          </w:p>
        </w:tc>
        <w:tc>
          <w:tcPr>
            <w:tcW w:type="dxa" w:w="46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AC-01 and AC-11 change shape if FIMS is mandatory</w:t>
            </w:r>
          </w:p>
        </w:tc>
      </w:tr>
      <w:tr>
        <w:tc>
          <w:tcPr>
            <w:tcW w:type="dxa" w:w="620"/>
            <w:tcMar>
              <w:top w:type="dxa" w:w="90"/>
              <w:left w:type="dxa" w:w="120"/>
              <w:bottom w:type="dxa" w:w="90"/>
              <w:right w:type="dxa" w:w="120"/>
            </w:tcMar>
          </w:tcPr>
          <w:p>
            <w:pPr>
              <w:spacing w:after="0" w:line="252"/>
            </w:pPr>
            <w:r>
              <w:rPr>
                <w:rFonts w:ascii="Calibri" w:cs="Calibri" w:eastAsia="Calibri" w:hAnsi="Calibri"/>
                <w:sz w:val="18"/>
                <w:szCs w:val="18"/>
              </w:rPr>
              <w:t xml:space="preserve">5</w:t>
            </w:r>
          </w:p>
        </w:tc>
        <w:tc>
          <w:tcPr>
            <w:tcW w:type="dxa" w:w="4100"/>
            <w:tcMar>
              <w:top w:type="dxa" w:w="90"/>
              <w:left w:type="dxa" w:w="120"/>
              <w:bottom w:type="dxa" w:w="90"/>
              <w:right w:type="dxa" w:w="120"/>
            </w:tcMar>
          </w:tcPr>
          <w:p>
            <w:pPr>
              <w:spacing w:after="0" w:line="252"/>
            </w:pPr>
            <w:r>
              <w:rPr>
                <w:rFonts w:ascii="Calibri" w:cs="Calibri" w:eastAsia="Calibri" w:hAnsi="Calibri"/>
                <w:sz w:val="18"/>
                <w:szCs w:val="18"/>
              </w:rPr>
              <w:t xml:space="preserve">The trigger measure — obligations or </w:t>
            </w:r>
            <w:r>
              <w:rPr>
                <w:rFonts w:ascii="Calibri" w:cs="Calibri" w:eastAsia="Calibri" w:hAnsi="Calibri"/>
                <w:b/>
                <w:bCs/>
                <w:sz w:val="18"/>
                <w:szCs w:val="18"/>
              </w:rPr>
              <w:t xml:space="preserve">disbursements</w:t>
            </w:r>
          </w:p>
        </w:tc>
        <w:tc>
          <w:tcPr>
            <w:tcW w:type="dxa" w:w="4640"/>
            <w:tcMar>
              <w:top w:type="dxa" w:w="90"/>
              <w:left w:type="dxa" w:w="120"/>
              <w:bottom w:type="dxa" w:w="90"/>
              <w:right w:type="dxa" w:w="120"/>
            </w:tcMar>
          </w:tcPr>
          <w:p>
            <w:pPr>
              <w:spacing w:after="0" w:line="252"/>
            </w:pPr>
            <w:r>
              <w:rPr>
                <w:rFonts w:ascii="Calibri" w:cs="Calibri" w:eastAsia="Calibri" w:hAnsi="Calibri"/>
                <w:sz w:val="18"/>
                <w:szCs w:val="18"/>
              </w:rPr>
              <w:t xml:space="preserve">Named as a dependency in the funding documents; AC-05 is configuration either way, but the reported figures differ entirely</w:t>
            </w:r>
          </w:p>
        </w:tc>
      </w:tr>
      <w:tr>
        <w:tc>
          <w:tcPr>
            <w:tcW w:type="dxa" w:w="6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6</w:t>
            </w:r>
          </w:p>
        </w:tc>
        <w:tc>
          <w:tcPr>
            <w:tcW w:type="dxa" w:w="41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How the ten-business-day dependency windows are counted from a Friday start</w:t>
            </w:r>
          </w:p>
        </w:tc>
        <w:tc>
          <w:tcPr>
            <w:tcW w:type="dxa" w:w="46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Ten business days from Fri 2026-09-18 is </w:t>
            </w:r>
            <w:r>
              <w:rPr>
                <w:rFonts w:ascii="Calibri" w:cs="Calibri" w:eastAsia="Calibri" w:hAnsi="Calibri"/>
                <w:b/>
                <w:bCs/>
                <w:sz w:val="18"/>
                <w:szCs w:val="18"/>
              </w:rPr>
              <w:t xml:space="preserve">Thu 2026-10-01</w:t>
            </w:r>
            <w:r>
              <w:rPr>
                <w:rFonts w:ascii="Calibri" w:cs="Calibri" w:eastAsia="Calibri" w:hAnsi="Calibri"/>
                <w:sz w:val="18"/>
                <w:szCs w:val="18"/>
              </w:rPr>
              <w:t xml:space="preserve"> if the start day counts, </w:t>
            </w:r>
            <w:r>
              <w:rPr>
                <w:rFonts w:ascii="Calibri" w:cs="Calibri" w:eastAsia="Calibri" w:hAnsi="Calibri"/>
                <w:b/>
                <w:bCs/>
                <w:sz w:val="18"/>
                <w:szCs w:val="18"/>
              </w:rPr>
              <w:t xml:space="preserve">Fri 2026-10-02</w:t>
            </w:r>
            <w:r>
              <w:rPr>
                <w:rFonts w:ascii="Calibri" w:cs="Calibri" w:eastAsia="Calibri" w:hAnsi="Calibri"/>
                <w:sz w:val="18"/>
                <w:szCs w:val="18"/>
              </w:rPr>
              <w:t xml:space="preserve"> if not</w:t>
            </w:r>
          </w:p>
        </w:tc>
      </w:tr>
      <w:tr>
        <w:tc>
          <w:tcPr>
            <w:tcW w:type="dxa" w:w="620"/>
            <w:tcMar>
              <w:top w:type="dxa" w:w="90"/>
              <w:left w:type="dxa" w:w="120"/>
              <w:bottom w:type="dxa" w:w="90"/>
              <w:right w:type="dxa" w:w="120"/>
            </w:tcMar>
          </w:tcPr>
          <w:p>
            <w:pPr>
              <w:spacing w:after="0" w:line="252"/>
            </w:pPr>
            <w:r>
              <w:rPr>
                <w:rFonts w:ascii="Calibri" w:cs="Calibri" w:eastAsia="Calibri" w:hAnsi="Calibri"/>
                <w:sz w:val="18"/>
                <w:szCs w:val="18"/>
              </w:rPr>
              <w:t xml:space="preserve">7</w:t>
            </w:r>
          </w:p>
        </w:tc>
        <w:tc>
          <w:tcPr>
            <w:tcW w:type="dxa" w:w="4100"/>
            <w:tcMar>
              <w:top w:type="dxa" w:w="90"/>
              <w:left w:type="dxa" w:w="120"/>
              <w:bottom w:type="dxa" w:w="90"/>
              <w:right w:type="dxa" w:w="120"/>
            </w:tcMar>
          </w:tcPr>
          <w:p>
            <w:pPr>
              <w:spacing w:after="0" w:line="252"/>
            </w:pPr>
            <w:r>
              <w:rPr>
                <w:rFonts w:ascii="Calibri" w:cs="Calibri" w:eastAsia="Calibri" w:hAnsi="Calibri"/>
                <w:sz w:val="18"/>
                <w:szCs w:val="18"/>
              </w:rPr>
              <w:t xml:space="preserve">Acceptance response window</w:t>
            </w:r>
          </w:p>
        </w:tc>
        <w:tc>
          <w:tcPr>
            <w:tcW w:type="dxa" w:w="4640"/>
            <w:tcMar>
              <w:top w:type="dxa" w:w="90"/>
              <w:left w:type="dxa" w:w="120"/>
              <w:bottom w:type="dxa" w:w="90"/>
              <w:right w:type="dxa" w:w="120"/>
            </w:tcMar>
          </w:tcPr>
          <w:p>
            <w:pPr>
              <w:spacing w:after="0" w:line="252"/>
            </w:pPr>
            <w:r>
              <w:rPr>
                <w:rFonts w:ascii="Calibri" w:cs="Calibri" w:eastAsia="Calibri" w:hAnsi="Calibri"/>
                <w:sz w:val="18"/>
                <w:szCs w:val="18"/>
              </w:rPr>
              <w:t xml:space="preserve">The SOW refers to a 15-business-day acceptance clause; section 8 assumes it. To be confirmed against the executed documents</w:t>
            </w:r>
          </w:p>
        </w:tc>
      </w:tr>
    </w:tbl>
    <w:p>
      <w:pPr>
        <w:pStyle w:val="Heading1"/>
        <w:spacing w:after="160" w:before="360"/>
      </w:pPr>
      <w:r>
        <w:rPr>
          <w:rFonts w:ascii="Calibri" w:cs="Calibri" w:eastAsia="Calibri" w:hAnsi="Calibri"/>
          <w:b/>
          <w:bCs/>
          <w:color w:val="1F3A5F"/>
          <w:sz w:val="26"/>
          <w:szCs w:val="26"/>
        </w:rPr>
        <w:t xml:space="preserve">3.  FEMA-provided dependencies, and what happens if one is late</w:t>
      </w:r>
    </w:p>
    <w:p>
      <w:pPr>
        <w:spacing w:after="140" w:line="264"/>
      </w:pPr>
      <w:r>
        <w:rPr>
          <w:rFonts w:ascii="Calibri" w:cs="Calibri" w:eastAsia="Calibri" w:hAnsi="Calibri"/>
          <w:sz w:val="21"/>
          <w:szCs w:val="21"/>
        </w:rPr>
        <w:t xml:space="preserve">Per Assumptions #3 and #4, FEMA provides the following within ten business days of the start — that is, by </w:t>
      </w:r>
      <w:r>
        <w:rPr>
          <w:rFonts w:ascii="Calibri" w:cs="Calibri" w:eastAsia="Calibri" w:hAnsi="Calibri"/>
          <w:b/>
          <w:bCs/>
          <w:sz w:val="21"/>
          <w:szCs w:val="21"/>
        </w:rPr>
        <w:t xml:space="preserve">2026-10-01/02</w:t>
      </w:r>
      <w:r>
        <w:rPr>
          <w:rFonts w:ascii="Calibri" w:cs="Calibri" w:eastAsia="Calibri" w:hAnsi="Calibri"/>
          <w:sz w:val="21"/>
          <w:szCs w:val="21"/>
        </w:rPr>
        <w:t xml:space="preserve">:</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4700"/>
        <w:gridCol w:w="4660"/>
      </w:tblGrid>
      <w:tr>
        <w:trPr>
          <w:tblHeader/>
        </w:trPr>
        <w:tc>
          <w:tcPr>
            <w:tcW w:type="dxa" w:w="47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Dependency</w:t>
            </w:r>
          </w:p>
        </w:tc>
        <w:tc>
          <w:tcPr>
            <w:tcW w:type="dxa" w:w="466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Criteria that depend on it</w:t>
            </w:r>
          </w:p>
        </w:tc>
      </w:tr>
      <w:tr>
        <w:tc>
          <w:tcPr>
            <w:tcW w:type="dxa" w:w="4700"/>
            <w:tcMar>
              <w:top w:type="dxa" w:w="90"/>
              <w:left w:type="dxa" w:w="120"/>
              <w:bottom w:type="dxa" w:w="90"/>
              <w:right w:type="dxa" w:w="120"/>
            </w:tcMar>
          </w:tcPr>
          <w:p>
            <w:pPr>
              <w:spacing w:after="0" w:line="252"/>
            </w:pPr>
            <w:r>
              <w:rPr>
                <w:rFonts w:ascii="Calibri" w:cs="Calibri" w:eastAsia="Calibri" w:hAnsi="Calibri"/>
                <w:sz w:val="18"/>
                <w:szCs w:val="18"/>
              </w:rPr>
              <w:t xml:space="preserve">Sample WebIFMIS extracts, FY2024–FY2026, in the as-is layout</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AC-01, AC-02, AC-03, AC-06, AC-08, AC-11</w:t>
            </w:r>
          </w:p>
        </w:tc>
      </w:tr>
      <w:tr>
        <w:tc>
          <w:tcPr>
            <w:tcW w:type="dxa" w:w="47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FEMADex workspace access, catalog creation rights, bundle deployment permission</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All criteria requiring a run on the platform</w:t>
            </w:r>
          </w:p>
        </w:tc>
      </w:tr>
      <w:tr>
        <w:tc>
          <w:tcPr>
            <w:tcW w:type="dxa" w:w="4700"/>
            <w:tcMar>
              <w:top w:type="dxa" w:w="90"/>
              <w:left w:type="dxa" w:w="120"/>
              <w:bottom w:type="dxa" w:w="90"/>
              <w:right w:type="dxa" w:w="120"/>
            </w:tcMar>
          </w:tcPr>
          <w:p>
            <w:pPr>
              <w:spacing w:after="0" w:line="252"/>
            </w:pPr>
            <w:r>
              <w:rPr>
                <w:rFonts w:ascii="Calibri" w:cs="Calibri" w:eastAsia="Calibri" w:hAnsi="Calibri"/>
                <w:sz w:val="18"/>
                <w:szCs w:val="18"/>
              </w:rPr>
              <w:t xml:space="preserve">An approved LLM endpoint in FEMADex</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AC-10 only</w:t>
            </w:r>
          </w:p>
        </w:tc>
      </w:tr>
      <w:tr>
        <w:tc>
          <w:tcPr>
            <w:tcW w:type="dxa" w:w="47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 named product owner</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AC-06, AC-07, AC-09 (adjudication and review sessions)</w:t>
            </w:r>
          </w:p>
        </w:tc>
      </w:tr>
      <w:tr>
        <w:tc>
          <w:tcPr>
            <w:tcW w:type="dxa" w:w="4700"/>
            <w:tcMar>
              <w:top w:type="dxa" w:w="90"/>
              <w:left w:type="dxa" w:w="120"/>
              <w:bottom w:type="dxa" w:w="90"/>
              <w:right w:type="dxa" w:w="120"/>
            </w:tcMar>
          </w:tcPr>
          <w:p>
            <w:pPr>
              <w:spacing w:after="0" w:line="252"/>
            </w:pPr>
            <w:r>
              <w:rPr>
                <w:rFonts w:ascii="Calibri" w:cs="Calibri" w:eastAsia="Calibri" w:hAnsi="Calibri"/>
                <w:sz w:val="18"/>
                <w:szCs w:val="18"/>
              </w:rPr>
              <w:t xml:space="preserve">FEMA’s actual preliminary risk assessment instrument</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AC-07, AC-08</w:t>
            </w:r>
          </w:p>
        </w:tc>
      </w:tr>
      <w:tr>
        <w:tc>
          <w:tcPr>
            <w:tcW w:type="dxa" w:w="47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The taxonomy for the 20 programs, and last-comprehensive-assessment dates if the three-year cycle is in scope</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AC-06, AC-08</w:t>
            </w:r>
          </w:p>
        </w:tc>
      </w:tr>
    </w:tbl>
    <w:p>
      <w:pPr>
        <w:spacing w:after="160"/>
      </w:pPr>
      <w:r>
        <w:rPr>
          <w:sz w:val="8"/>
          <w:szCs w:val="8"/>
        </w:rPr>
        <w:t xml:space="preserve"/>
      </w:r>
    </w:p>
    <w:p>
      <w:pPr>
        <w:spacing w:after="140" w:line="264"/>
      </w:pPr>
      <w:r>
        <w:rPr>
          <w:rFonts w:ascii="Calibri" w:cs="Calibri" w:eastAsia="Calibri" w:hAnsi="Calibri"/>
          <w:b/>
          <w:bCs/>
          <w:sz w:val="21"/>
          <w:szCs w:val="21"/>
        </w:rPr>
        <w:t xml:space="preserve">Proposed rule for a late dependency.</w:t>
      </w:r>
      <w:r>
        <w:rPr>
          <w:rFonts w:ascii="Calibri" w:cs="Calibri" w:eastAsia="Calibri" w:hAnsi="Calibri"/>
          <w:sz w:val="21"/>
          <w:szCs w:val="21"/>
        </w:rPr>
        <w:t xml:space="preserve"> Where a criterion cannot be demonstrated because a dependency above was not available, that criterion is recorded as </w:t>
      </w:r>
      <w:r>
        <w:rPr>
          <w:rFonts w:ascii="Calibri" w:cs="Calibri" w:eastAsia="Calibri" w:hAnsi="Calibri"/>
          <w:b/>
          <w:bCs/>
          <w:sz w:val="21"/>
          <w:szCs w:val="21"/>
        </w:rPr>
        <w:t xml:space="preserve">deferred, with the date the dependency arrived</w:t>
      </w:r>
      <w:r>
        <w:rPr>
          <w:rFonts w:ascii="Calibri" w:cs="Calibri" w:eastAsia="Calibri" w:hAnsi="Calibri"/>
          <w:sz w:val="21"/>
          <w:szCs w:val="21"/>
        </w:rPr>
        <w:t xml:space="preserve">, and is not scored as a failure. Where a documented fallback exists, the fallback is demonstrated instead and is sufficient for acceptance:</w:t>
      </w:r>
    </w:p>
    <w:p>
      <w:pPr>
        <w:pStyle w:val="ListParagraph"/>
        <w:numPr>
          <w:ilvl w:val="0"/>
          <w:numId w:val="2"/>
        </w:numPr>
        <w:spacing w:after="100" w:line="264"/>
      </w:pPr>
      <w:r>
        <w:rPr>
          <w:rFonts w:ascii="Calibri" w:cs="Calibri" w:eastAsia="Calibri" w:hAnsi="Calibri"/>
          <w:b/>
          <w:bCs/>
          <w:sz w:val="21"/>
          <w:szCs w:val="21"/>
        </w:rPr>
        <w:t xml:space="preserve">No LLM endpoint by the deadline</w:t>
      </w:r>
      <w:r>
        <w:rPr>
          <w:rFonts w:ascii="Calibri" w:cs="Calibri" w:eastAsia="Calibri" w:hAnsi="Calibri"/>
          <w:sz w:val="21"/>
          <w:szCs w:val="21"/>
        </w:rPr>
        <w:t xml:space="preserve"> → AC-10 is demonstrated against deterministic, clearly-labelled template rationale, and the endpoint is swapped in without code change when it arrives. The guardrail that AI never computes a reportable number holds in both cases.</w:t>
      </w:r>
    </w:p>
    <w:p>
      <w:pPr>
        <w:pStyle w:val="ListParagraph"/>
        <w:numPr>
          <w:ilvl w:val="0"/>
          <w:numId w:val="2"/>
        </w:numPr>
        <w:spacing w:after="100" w:line="264"/>
      </w:pPr>
      <w:r>
        <w:rPr>
          <w:rFonts w:ascii="Calibri" w:cs="Calibri" w:eastAsia="Calibri" w:hAnsi="Calibri"/>
          <w:b/>
          <w:bCs/>
          <w:sz w:val="21"/>
          <w:szCs w:val="21"/>
        </w:rPr>
        <w:t xml:space="preserve">No FIMS extracts by 2026-12-15</w:t>
      </w:r>
      <w:r>
        <w:rPr>
          <w:rFonts w:ascii="Calibri" w:cs="Calibri" w:eastAsia="Calibri" w:hAnsi="Calibri"/>
          <w:sz w:val="21"/>
          <w:szCs w:val="21"/>
        </w:rPr>
        <w:t xml:space="preserve"> → the tool is delivered against WebIFMIS only, and we provide a written determination to the Contracting Officer instead of the FIMS comparison.</w:t>
      </w:r>
    </w:p>
    <w:p>
      <w:pPr>
        <w:pStyle w:val="ListParagraph"/>
        <w:numPr>
          <w:ilvl w:val="0"/>
          <w:numId w:val="2"/>
        </w:numPr>
        <w:spacing w:after="100" w:line="264"/>
      </w:pPr>
      <w:r>
        <w:rPr>
          <w:rFonts w:ascii="Calibri" w:cs="Calibri" w:eastAsia="Calibri" w:hAnsi="Calibri"/>
          <w:b/>
          <w:bCs/>
          <w:sz w:val="21"/>
          <w:szCs w:val="21"/>
        </w:rPr>
        <w:t xml:space="preserve">No real PRA instrument</w:t>
      </w:r>
      <w:r>
        <w:rPr>
          <w:rFonts w:ascii="Calibri" w:cs="Calibri" w:eastAsia="Calibri" w:hAnsi="Calibri"/>
          <w:sz w:val="21"/>
          <w:szCs w:val="21"/>
        </w:rPr>
        <w:t xml:space="preserve"> → AC-07 and AC-08 are demonstrated against the illustrative ten-question instrument already built, explicitly labelled as a placeholder, with the binding mechanism proven so that swapping the real instrument is a configuration change.</w:t>
      </w:r>
    </w:p>
    <w:p>
      <w:pPr>
        <w:spacing w:after="140" w:line="264"/>
      </w:pPr>
      <w:r>
        <w:rPr>
          <w:rFonts w:ascii="Calibri" w:cs="Calibri" w:eastAsia="Calibri" w:hAnsi="Calibri"/>
          <w:sz w:val="21"/>
          <w:szCs w:val="21"/>
        </w:rPr>
        <w:t xml:space="preserve">We request that late dependencies and their impact be noted in the weekly status so that this is never a surprise at acceptance.</w:t>
      </w:r>
    </w:p>
    <w:p>
      <w:pPr>
        <w:pStyle w:val="Heading1"/>
        <w:spacing w:after="160" w:before="360"/>
      </w:pPr>
      <w:r>
        <w:rPr>
          <w:rFonts w:ascii="Calibri" w:cs="Calibri" w:eastAsia="Calibri" w:hAnsi="Calibri"/>
          <w:b/>
          <w:bCs/>
          <w:color w:val="1F3A5F"/>
          <w:sz w:val="26"/>
          <w:szCs w:val="26"/>
        </w:rPr>
        <w:t xml:space="preserve">4.  Explicitly outside acceptance</w:t>
      </w:r>
    </w:p>
    <w:p>
      <w:pPr>
        <w:spacing w:after="140" w:line="264"/>
      </w:pPr>
      <w:r>
        <w:rPr>
          <w:rFonts w:ascii="Calibri" w:cs="Calibri" w:eastAsia="Calibri" w:hAnsi="Calibri"/>
          <w:sz w:val="21"/>
          <w:szCs w:val="21"/>
        </w:rPr>
        <w:t xml:space="preserve">Stated so that neither party expects them in February:</w:t>
      </w:r>
    </w:p>
    <w:p>
      <w:pPr>
        <w:pStyle w:val="ListParagraph"/>
        <w:numPr>
          <w:ilvl w:val="0"/>
          <w:numId w:val="2"/>
        </w:numPr>
        <w:spacing w:after="100" w:line="264"/>
      </w:pPr>
      <w:r>
        <w:rPr>
          <w:rFonts w:ascii="Calibri" w:cs="Calibri" w:eastAsia="Calibri" w:hAnsi="Calibri"/>
          <w:sz w:val="21"/>
          <w:szCs w:val="21"/>
        </w:rPr>
        <w:t xml:space="preserve">Production deployment, production data, or operation in a production environment.</w:t>
      </w:r>
    </w:p>
    <w:p>
      <w:pPr>
        <w:pStyle w:val="ListParagraph"/>
        <w:numPr>
          <w:ilvl w:val="0"/>
          <w:numId w:val="2"/>
        </w:numPr>
        <w:spacing w:after="100" w:line="264"/>
      </w:pPr>
      <w:r>
        <w:rPr>
          <w:rFonts w:ascii="Calibri" w:cs="Calibri" w:eastAsia="Calibri" w:hAnsi="Calibri"/>
          <w:sz w:val="21"/>
          <w:szCs w:val="21"/>
        </w:rPr>
        <w:t xml:space="preserve">Authority to operate, FedRAMP assessment, or any security accreditation activity.</w:t>
      </w:r>
    </w:p>
    <w:p>
      <w:pPr>
        <w:pStyle w:val="ListParagraph"/>
        <w:numPr>
          <w:ilvl w:val="0"/>
          <w:numId w:val="2"/>
        </w:numPr>
        <w:spacing w:after="100" w:line="264"/>
      </w:pPr>
      <w:r>
        <w:rPr>
          <w:rFonts w:ascii="Calibri" w:cs="Calibri" w:eastAsia="Calibri" w:hAnsi="Calibri"/>
          <w:sz w:val="21"/>
          <w:szCs w:val="21"/>
        </w:rPr>
        <w:t xml:space="preserve">Organisation-wide RBAC rollout beyond the dev/test role model used to demonstrate sign-off.</w:t>
      </w:r>
    </w:p>
    <w:p>
      <w:pPr>
        <w:pStyle w:val="ListParagraph"/>
        <w:numPr>
          <w:ilvl w:val="0"/>
          <w:numId w:val="2"/>
        </w:numPr>
        <w:spacing w:after="100" w:line="264"/>
      </w:pPr>
      <w:r>
        <w:rPr>
          <w:rFonts w:ascii="Calibri" w:cs="Calibri" w:eastAsia="Calibri" w:hAnsi="Calibri"/>
          <w:sz w:val="21"/>
          <w:szCs w:val="21"/>
        </w:rPr>
        <w:t xml:space="preserve">Migration of, or changes to, WebIFMIS, FIMS or any system of record.</w:t>
      </w:r>
    </w:p>
    <w:p>
      <w:pPr>
        <w:pStyle w:val="ListParagraph"/>
        <w:numPr>
          <w:ilvl w:val="0"/>
          <w:numId w:val="2"/>
        </w:numPr>
        <w:spacing w:after="100" w:line="264"/>
      </w:pPr>
      <w:r>
        <w:rPr>
          <w:rFonts w:ascii="Calibri" w:cs="Calibri" w:eastAsia="Calibri" w:hAnsi="Calibri"/>
          <w:sz w:val="21"/>
          <w:szCs w:val="21"/>
        </w:rPr>
        <w:t xml:space="preserve">Ongoing maintenance of the WebIFMIS-to-FIMS code bridge after the period of performance.</w:t>
      </w:r>
    </w:p>
    <w:p>
      <w:pPr>
        <w:pStyle w:val="ListParagraph"/>
        <w:numPr>
          <w:ilvl w:val="0"/>
          <w:numId w:val="2"/>
        </w:numPr>
        <w:spacing w:after="100" w:line="264"/>
      </w:pPr>
      <w:r>
        <w:rPr>
          <w:rFonts w:ascii="Calibri" w:cs="Calibri" w:eastAsia="Calibri" w:hAnsi="Calibri"/>
          <w:sz w:val="21"/>
          <w:szCs w:val="21"/>
        </w:rPr>
        <w:t xml:space="preserve">Training programmes and change management beyond the handover walkthrough in AC-12.</w:t>
      </w:r>
    </w:p>
    <w:p>
      <w:pPr>
        <w:pStyle w:val="ListParagraph"/>
        <w:numPr>
          <w:ilvl w:val="0"/>
          <w:numId w:val="2"/>
        </w:numPr>
        <w:spacing w:after="100" w:line="264"/>
      </w:pPr>
      <w:r>
        <w:rPr>
          <w:rFonts w:ascii="Calibri" w:cs="Calibri" w:eastAsia="Calibri" w:hAnsi="Calibri"/>
          <w:sz w:val="21"/>
          <w:szCs w:val="21"/>
        </w:rPr>
        <w:t xml:space="preserve">Any guarantee of a specific automated-mapping accuracy rate (see section 5).</w:t>
      </w:r>
    </w:p>
    <w:p>
      <w:pPr>
        <w:pStyle w:val="ListParagraph"/>
        <w:numPr>
          <w:ilvl w:val="0"/>
          <w:numId w:val="2"/>
        </w:numPr>
        <w:spacing w:after="100" w:line="264"/>
      </w:pPr>
      <w:r>
        <w:rPr>
          <w:rFonts w:ascii="Calibri" w:cs="Calibri" w:eastAsia="Calibri" w:hAnsi="Calibri"/>
          <w:sz w:val="21"/>
          <w:szCs w:val="21"/>
        </w:rPr>
        <w:t xml:space="preserve">Processing of live or production CUI outside the agreed dev/test catalogs.</w:t>
      </w:r>
    </w:p>
    <w:p>
      <w:pPr>
        <w:pStyle w:val="Heading1"/>
        <w:spacing w:after="160" w:before="360"/>
      </w:pPr>
      <w:r>
        <w:rPr>
          <w:rFonts w:ascii="Calibri" w:cs="Calibri" w:eastAsia="Calibri" w:hAnsi="Calibri"/>
          <w:b/>
          <w:bCs/>
          <w:color w:val="1F3A5F"/>
          <w:sz w:val="26"/>
          <w:szCs w:val="26"/>
        </w:rPr>
        <w:t xml:space="preserve">5.  Measured and reported, not guaranteed</w:t>
      </w:r>
    </w:p>
    <w:p>
      <w:pPr>
        <w:spacing w:after="140" w:line="264"/>
      </w:pPr>
      <w:r>
        <w:rPr>
          <w:rFonts w:ascii="Calibri" w:cs="Calibri" w:eastAsia="Calibri" w:hAnsi="Calibri"/>
          <w:sz w:val="21"/>
          <w:szCs w:val="21"/>
        </w:rPr>
        <w:t xml:space="preserve">Two things will be quantified during the pilot, reported honestly, and used as inputs to the go/no-go decision. We are </w:t>
      </w:r>
      <w:r>
        <w:rPr>
          <w:rFonts w:ascii="Calibri" w:cs="Calibri" w:eastAsia="Calibri" w:hAnsi="Calibri"/>
          <w:b/>
          <w:bCs/>
          <w:sz w:val="21"/>
          <w:szCs w:val="21"/>
        </w:rPr>
        <w:t xml:space="preserve">not</w:t>
      </w:r>
      <w:r>
        <w:rPr>
          <w:rFonts w:ascii="Calibri" w:cs="Calibri" w:eastAsia="Calibri" w:hAnsi="Calibri"/>
          <w:sz w:val="21"/>
          <w:szCs w:val="21"/>
        </w:rPr>
        <w:t xml:space="preserve"> proposing them as pass/fail thresholds, and we would advise FEMA against accepting a vendor who offers a number here before seeing the data:</w:t>
      </w:r>
    </w:p>
    <w:p>
      <w:pPr>
        <w:pStyle w:val="ListParagraph"/>
        <w:numPr>
          <w:ilvl w:val="0"/>
          <w:numId w:val="3"/>
        </w:numPr>
        <w:spacing w:after="100" w:line="264"/>
      </w:pPr>
      <w:r>
        <w:rPr>
          <w:rFonts w:ascii="Calibri" w:cs="Calibri" w:eastAsia="Calibri" w:hAnsi="Calibri"/>
          <w:b/>
          <w:bCs/>
          <w:sz w:val="21"/>
          <w:szCs w:val="21"/>
        </w:rPr>
        <w:t xml:space="preserve">Automated mapping agreement rate.</w:t>
      </w:r>
      <w:r>
        <w:rPr>
          <w:rFonts w:ascii="Calibri" w:cs="Calibri" w:eastAsia="Calibri" w:hAnsi="Calibri"/>
          <w:sz w:val="21"/>
          <w:szCs w:val="21"/>
        </w:rPr>
        <w:t xml:space="preserve"> Measured against the SME-adjudicated validation sample of prior-year mapping decisions (AC-06). The rate depends on how consistent the historical groupings actually are — which is precisely what is unknown today, and is the reason the pilot exists.</w:t>
      </w:r>
    </w:p>
    <w:p>
      <w:pPr>
        <w:pStyle w:val="ListParagraph"/>
        <w:numPr>
          <w:ilvl w:val="0"/>
          <w:numId w:val="3"/>
        </w:numPr>
        <w:spacing w:after="100" w:line="264"/>
      </w:pPr>
      <w:r>
        <w:rPr>
          <w:rFonts w:ascii="Calibri" w:cs="Calibri" w:eastAsia="Calibri" w:hAnsi="Calibri"/>
          <w:b/>
          <w:bCs/>
          <w:sz w:val="21"/>
          <w:szCs w:val="21"/>
        </w:rPr>
        <w:t xml:space="preserve">AI-proposed rule quality and rationale usefulness.</w:t>
      </w:r>
      <w:r>
        <w:rPr>
          <w:rFonts w:ascii="Calibri" w:cs="Calibri" w:eastAsia="Calibri" w:hAnsi="Calibri"/>
          <w:sz w:val="21"/>
          <w:szCs w:val="21"/>
        </w:rPr>
        <w:t xml:space="preserve"> Evaluated against the same adjudicated sample under the evaluation protocol agreed with FEMA (Assumptions #3), tracked in MLflow.</w:t>
      </w:r>
    </w:p>
    <w:p>
      <w:pPr>
        <w:spacing w:after="140" w:line="264"/>
      </w:pPr>
      <w:r>
        <w:rPr>
          <w:rFonts w:ascii="Calibri" w:cs="Calibri" w:eastAsia="Calibri" w:hAnsi="Calibri"/>
          <w:sz w:val="21"/>
          <w:szCs w:val="21"/>
        </w:rPr>
        <w:t xml:space="preserve">What </w:t>
      </w:r>
      <w:r>
        <w:rPr>
          <w:rFonts w:ascii="Calibri" w:cs="Calibri" w:eastAsia="Calibri" w:hAnsi="Calibri"/>
          <w:b/>
          <w:bCs/>
          <w:sz w:val="21"/>
          <w:szCs w:val="21"/>
        </w:rPr>
        <w:t xml:space="preserve">is</w:t>
      </w:r>
      <w:r>
        <w:rPr>
          <w:rFonts w:ascii="Calibri" w:cs="Calibri" w:eastAsia="Calibri" w:hAnsi="Calibri"/>
          <w:sz w:val="21"/>
          <w:szCs w:val="21"/>
        </w:rPr>
        <w:t xml:space="preserve"> committed is the </w:t>
      </w:r>
      <w:r>
        <w:rPr>
          <w:rFonts w:ascii="Calibri" w:cs="Calibri" w:eastAsia="Calibri" w:hAnsi="Calibri"/>
          <w:b/>
          <w:bCs/>
          <w:sz w:val="21"/>
          <w:szCs w:val="21"/>
        </w:rPr>
        <w:t xml:space="preserve">method</w:t>
      </w:r>
      <w:r>
        <w:rPr>
          <w:rFonts w:ascii="Calibri" w:cs="Calibri" w:eastAsia="Calibri" w:hAnsi="Calibri"/>
          <w:sz w:val="21"/>
          <w:szCs w:val="21"/>
        </w:rPr>
        <w:t xml:space="preserve">: the sample is adjudicated by FEMA SMEs, the measurement is reproducible, the result is reported whatever it says, and every figure carries the lineage to reproduce it. A pilot that returns a low agreement rate with clear evidence of why is a successful pilot — it answers the question the proof of concept was funded to answer.</w:t>
      </w:r>
    </w:p>
    <w:p>
      <w:pPr>
        <w:spacing w:after="140" w:line="264"/>
      </w:pPr>
      <w:r>
        <w:rPr>
          <w:rFonts w:ascii="Calibri" w:cs="Calibri" w:eastAsia="Calibri" w:hAnsi="Calibri"/>
          <w:sz w:val="21"/>
          <w:szCs w:val="21"/>
        </w:rPr>
        <w:t xml:space="preserve">Batch runtime and data volumes will likewise be measured and reported. No throughput figure is proposed as a criterion, because extract volumes at 20 programs are not yet known.</w:t>
      </w:r>
    </w:p>
    <w:p>
      <w:pPr>
        <w:sectPr>
          <w:footerReference w:type="default" r:id="rId7"/>
          <w:pgSz w:w="12240" w:h="15840" w:orient="portrait"/>
          <w:pgMar w:top="1300" w:right="1440" w:bottom="1300" w:left="1440" w:header="708" w:footer="708" w:gutter="0"/>
          <w:pgNumType/>
          <w:docGrid w:linePitch="360"/>
        </w:sectPr>
      </w:pPr>
    </w:p>
    <w:p>
      <w:pPr>
        <w:pStyle w:val="Heading1"/>
        <w:spacing w:after="160" w:before="360"/>
      </w:pPr>
      <w:r>
        <w:rPr>
          <w:rFonts w:ascii="Calibri" w:cs="Calibri" w:eastAsia="Calibri" w:hAnsi="Calibri"/>
          <w:b/>
          <w:bCs/>
          <w:color w:val="1F3A5F"/>
          <w:sz w:val="26"/>
          <w:szCs w:val="26"/>
        </w:rPr>
        <w:t xml:space="preserve">6.  Acceptance criteria</w:t>
      </w:r>
    </w:p>
    <w:p>
      <w:pPr>
        <w:spacing w:after="180"/>
      </w:pPr>
      <w:r>
        <w:rPr>
          <w:rFonts w:ascii="Calibri" w:cs="Calibri" w:eastAsia="Calibri" w:hAnsi="Calibri"/>
          <w:sz w:val="21"/>
          <w:szCs w:val="21"/>
        </w:rPr>
        <w:t xml:space="preserve">Legend — </w:t>
      </w:r>
      <w:r>
        <w:rPr>
          <w:rFonts w:ascii="Calibri" w:cs="Calibri" w:eastAsia="Calibri" w:hAnsi="Calibri"/>
          <w:b/>
          <w:bCs/>
          <w:sz w:val="21"/>
          <w:szCs w:val="21"/>
        </w:rPr>
        <w:t xml:space="preserve">When</w:t>
      </w:r>
      <w:r>
        <w:rPr>
          <w:rFonts w:ascii="Calibri" w:cs="Calibri" w:eastAsia="Calibri" w:hAnsi="Calibri"/>
          <w:sz w:val="21"/>
          <w:szCs w:val="21"/>
        </w:rPr>
        <w:t xml:space="preserve"> refers to the demonstration milestone in section 7.</w:t>
      </w:r>
    </w:p>
    <w:tbl>
      <w:tblPr>
        <w:tblW w:type="dxa" w:w="13540"/>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2340"/>
        <w:gridCol w:w="4600"/>
        <w:gridCol w:w="4180"/>
        <w:gridCol w:w="1420"/>
      </w:tblGrid>
      <w:tr>
        <w:trPr>
          <w:tblHeader/>
        </w:trPr>
        <w:tc>
          <w:tcPr>
            <w:tcW w:type="dxa" w:w="10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ID</w:t>
            </w:r>
          </w:p>
        </w:tc>
        <w:tc>
          <w:tcPr>
            <w:tcW w:type="dxa" w:w="234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Criterion</w:t>
            </w:r>
          </w:p>
        </w:tc>
        <w:tc>
          <w:tcPr>
            <w:tcW w:type="dxa" w:w="46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Pass condition</w:t>
            </w:r>
          </w:p>
        </w:tc>
        <w:tc>
          <w:tcPr>
            <w:tcW w:type="dxa" w:w="418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Evidence</w:t>
            </w:r>
          </w:p>
        </w:tc>
        <w:tc>
          <w:tcPr>
            <w:tcW w:type="dxa" w:w="142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When</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AC-01</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Extracts are ingested through configuration, not code</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The agreed WebIFMIS extracts for FY2024–FY2026 load end to end with the source-to-canonical mapping expressed entirely in </w:t>
            </w:r>
            <w:r>
              <w:rPr>
                <w:rFonts w:ascii="Consolas" w:cs="Consolas" w:eastAsia="Consolas" w:hAnsi="Consolas"/>
                <w:sz w:val="16"/>
                <w:szCs w:val="16"/>
              </w:rPr>
              <w:t xml:space="preserve">config.schema_map</w:t>
            </w:r>
            <w:r>
              <w:rPr>
                <w:rFonts w:ascii="Calibri" w:cs="Calibri" w:eastAsia="Calibri" w:hAnsi="Calibri"/>
                <w:sz w:val="18"/>
                <w:szCs w:val="18"/>
              </w:rPr>
              <w:t xml:space="preserve">; no engine code change is made to accommodate a layout</w:t>
            </w:r>
          </w:p>
        </w:tc>
        <w:tc>
          <w:tcPr>
            <w:tcW w:type="dxa" w:w="4180"/>
            <w:tcMar>
              <w:top w:type="dxa" w:w="90"/>
              <w:left w:type="dxa" w:w="120"/>
              <w:bottom w:type="dxa" w:w="90"/>
              <w:right w:type="dxa" w:w="120"/>
            </w:tcMar>
          </w:tcPr>
          <w:p>
            <w:pPr>
              <w:spacing w:after="0" w:line="252"/>
            </w:pPr>
            <w:r>
              <w:rPr>
                <w:rFonts w:ascii="Consolas" w:cs="Consolas" w:eastAsia="Consolas" w:hAnsi="Consolas"/>
                <w:sz w:val="16"/>
                <w:szCs w:val="16"/>
              </w:rPr>
              <w:t xml:space="preserve">config.schema_map</w:t>
            </w:r>
            <w:r>
              <w:rPr>
                <w:rFonts w:ascii="Calibri" w:cs="Calibri" w:eastAsia="Calibri" w:hAnsi="Calibri"/>
                <w:sz w:val="18"/>
                <w:szCs w:val="18"/>
              </w:rPr>
              <w:t xml:space="preserve"> rows; one successful job run per fiscal year; row and checksum counts recorded in </w:t>
            </w:r>
            <w:r>
              <w:rPr>
                <w:rFonts w:ascii="Consolas" w:cs="Consolas" w:eastAsia="Consolas" w:hAnsi="Consolas"/>
                <w:sz w:val="16"/>
                <w:szCs w:val="16"/>
              </w:rPr>
              <w:t xml:space="preserve">silver.mapping_run</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M2</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AC-02</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The deterministic core is reproducible</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Two runs of the same job over the same extract and the same configuration version produce byte-identical </w:t>
            </w:r>
            <w:r>
              <w:rPr>
                <w:rFonts w:ascii="Consolas" w:cs="Consolas" w:eastAsia="Consolas" w:hAnsi="Consolas"/>
                <w:sz w:val="16"/>
                <w:szCs w:val="16"/>
              </w:rPr>
              <w:t xml:space="preserve">silver</w:t>
            </w:r>
            <w:r>
              <w:rPr>
                <w:rFonts w:ascii="Calibri" w:cs="Calibri" w:eastAsia="Calibri" w:hAnsi="Calibri"/>
                <w:sz w:val="18"/>
                <w:szCs w:val="18"/>
              </w:rPr>
              <w:t xml:space="preserve"> and </w:t>
            </w:r>
            <w:r>
              <w:rPr>
                <w:rFonts w:ascii="Consolas" w:cs="Consolas" w:eastAsia="Consolas" w:hAnsi="Consolas"/>
                <w:sz w:val="16"/>
                <w:szCs w:val="16"/>
              </w:rPr>
              <w:t xml:space="preserve">gold</w:t>
            </w:r>
            <w:r>
              <w:rPr>
                <w:rFonts w:ascii="Calibri" w:cs="Calibri" w:eastAsia="Calibri" w:hAnsi="Calibri"/>
                <w:sz w:val="18"/>
                <w:szCs w:val="18"/>
              </w:rPr>
              <w:t xml:space="preserve"> outputs</w:t>
            </w:r>
          </w:p>
        </w:tc>
        <w:tc>
          <w:tcPr>
            <w:tcW w:type="dxa" w:w="418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Table hashes compared across two </w:t>
            </w:r>
            <w:r>
              <w:rPr>
                <w:rFonts w:ascii="Consolas" w:cs="Consolas" w:eastAsia="Consolas" w:hAnsi="Consolas"/>
                <w:sz w:val="16"/>
                <w:szCs w:val="16"/>
              </w:rPr>
              <w:t xml:space="preserve">mapping_run_id</w:t>
            </w:r>
            <w:r>
              <w:rPr>
                <w:rFonts w:ascii="Calibri" w:cs="Calibri" w:eastAsia="Calibri" w:hAnsi="Calibri"/>
                <w:sz w:val="18"/>
                <w:szCs w:val="18"/>
              </w:rPr>
              <w:t xml:space="preserve"> values, demonstrated live</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M1, re-shown M4</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AC-03</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No dollar is silently dropped</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For every run, sum(bronze disbursements) = sum(mapped) + sum(exception queue) exactly, and every transaction is in exactly one of those two states</w:t>
            </w:r>
          </w:p>
        </w:tc>
        <w:tc>
          <w:tcPr>
            <w:tcW w:type="dxa" w:w="4180"/>
            <w:tcMar>
              <w:top w:type="dxa" w:w="90"/>
              <w:left w:type="dxa" w:w="120"/>
              <w:bottom w:type="dxa" w:w="90"/>
              <w:right w:type="dxa" w:w="120"/>
            </w:tcMar>
          </w:tcPr>
          <w:p>
            <w:pPr>
              <w:spacing w:after="0" w:line="252"/>
            </w:pPr>
            <w:r>
              <w:rPr>
                <w:rFonts w:ascii="Calibri" w:cs="Calibri" w:eastAsia="Calibri" w:hAnsi="Calibri"/>
                <w:sz w:val="18"/>
                <w:szCs w:val="18"/>
              </w:rPr>
              <w:t xml:space="preserve">Reconciliation query executed on screen; exception-queue total shown as an explicit figure</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M2</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AC-04</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Machine-proposed mappings cannot reach a report unreviewed</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Any mapping rule with status </w:t>
            </w:r>
            <w:r>
              <w:rPr>
                <w:rFonts w:ascii="Consolas" w:cs="Consolas" w:eastAsia="Consolas" w:hAnsi="Consolas"/>
                <w:sz w:val="16"/>
                <w:szCs w:val="16"/>
              </w:rPr>
              <w:t xml:space="preserve">inferred</w:t>
            </w:r>
            <w:r>
              <w:rPr>
                <w:rFonts w:ascii="Calibri" w:cs="Calibri" w:eastAsia="Calibri" w:hAnsi="Calibri"/>
                <w:sz w:val="18"/>
                <w:szCs w:val="18"/>
              </w:rPr>
              <w:t xml:space="preserve"> carries a confidence and contributes to no reportable figure until an approval row exists in </w:t>
            </w:r>
            <w:r>
              <w:rPr>
                <w:rFonts w:ascii="Consolas" w:cs="Consolas" w:eastAsia="Consolas" w:hAnsi="Consolas"/>
                <w:sz w:val="16"/>
                <w:szCs w:val="16"/>
              </w:rPr>
              <w:t xml:space="preserve">review.decision</w:t>
            </w:r>
          </w:p>
        </w:tc>
        <w:tc>
          <w:tcPr>
            <w:tcW w:type="dxa" w:w="418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Rule status lifecycle demonstrated in the app; query showing inferred-but-unapproved rules excluded from </w:t>
            </w:r>
            <w:r>
              <w:rPr>
                <w:rFonts w:ascii="Consolas" w:cs="Consolas" w:eastAsia="Consolas" w:hAnsi="Consolas"/>
                <w:sz w:val="16"/>
                <w:szCs w:val="16"/>
              </w:rPr>
              <w:t xml:space="preserve">gold</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M3</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AC-05</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The comprehensive-assessment trigger is configuration</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Measures, threshold, direction and floors are edited in configuration; re-running re-flags programs with no code change and no redeploy</w:t>
            </w:r>
          </w:p>
        </w:tc>
        <w:tc>
          <w:tcPr>
            <w:tcW w:type="dxa" w:w="4180"/>
            <w:tcMar>
              <w:top w:type="dxa" w:w="90"/>
              <w:left w:type="dxa" w:w="120"/>
              <w:bottom w:type="dxa" w:w="90"/>
              <w:right w:type="dxa" w:w="120"/>
            </w:tcMar>
          </w:tcPr>
          <w:p>
            <w:pPr>
              <w:spacing w:after="0" w:line="252"/>
            </w:pPr>
            <w:r>
              <w:rPr>
                <w:rFonts w:ascii="Calibri" w:cs="Calibri" w:eastAsia="Calibri" w:hAnsi="Calibri"/>
                <w:sz w:val="18"/>
                <w:szCs w:val="18"/>
              </w:rPr>
              <w:t xml:space="preserve">Before/after </w:t>
            </w:r>
            <w:r>
              <w:rPr>
                <w:rFonts w:ascii="Consolas" w:cs="Consolas" w:eastAsia="Consolas" w:hAnsi="Consolas"/>
                <w:sz w:val="16"/>
                <w:szCs w:val="16"/>
              </w:rPr>
              <w:t xml:space="preserve">gold.trigger_evaluation</w:t>
            </w:r>
            <w:r>
              <w:rPr>
                <w:rFonts w:ascii="Calibri" w:cs="Calibri" w:eastAsia="Calibri" w:hAnsi="Calibri"/>
                <w:sz w:val="18"/>
                <w:szCs w:val="18"/>
              </w:rPr>
              <w:t xml:space="preserve"> for the same fiscal year across two configuration versions</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M2</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AC-06</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Mapping decisions are validated against FEMA judgement</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For the agreed 20 programs, a validation sample of prior-year mapping decisions is adjudicated with FEMA SMEs, and the agreement rate is computed and reported. </w:t>
            </w:r>
            <w:r>
              <w:rPr>
                <w:rFonts w:ascii="Calibri" w:cs="Calibri" w:eastAsia="Calibri" w:hAnsi="Calibri"/>
                <w:b/>
                <w:bCs/>
                <w:sz w:val="18"/>
                <w:szCs w:val="18"/>
              </w:rPr>
              <w:t xml:space="preserve">No minimum rate is guaranteed</w:t>
            </w:r>
            <w:r>
              <w:rPr>
                <w:rFonts w:ascii="Calibri" w:cs="Calibri" w:eastAsia="Calibri" w:hAnsi="Calibri"/>
                <w:sz w:val="18"/>
                <w:szCs w:val="18"/>
              </w:rPr>
              <w:t xml:space="preserve"> (section 5)</w:t>
            </w:r>
          </w:p>
        </w:tc>
        <w:tc>
          <w:tcPr>
            <w:tcW w:type="dxa" w:w="418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Adjudication workbook; </w:t>
            </w:r>
            <w:r>
              <w:rPr>
                <w:rFonts w:ascii="Consolas" w:cs="Consolas" w:eastAsia="Consolas" w:hAnsi="Consolas"/>
                <w:sz w:val="16"/>
                <w:szCs w:val="16"/>
              </w:rPr>
              <w:t xml:space="preserve">review.decision</w:t>
            </w:r>
            <w:r>
              <w:rPr>
                <w:rFonts w:ascii="Calibri" w:cs="Calibri" w:eastAsia="Calibri" w:hAnsi="Calibri"/>
                <w:sz w:val="18"/>
                <w:szCs w:val="18"/>
              </w:rPr>
              <w:t xml:space="preserve"> rows; agreement rate in the summary deliverable</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M3</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AC-07</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FEMA’s instrument drives the assessment</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FEMA’s actual PRA instrument is loaded into </w:t>
            </w:r>
            <w:r>
              <w:rPr>
                <w:rFonts w:ascii="Consolas" w:cs="Consolas" w:eastAsia="Consolas" w:hAnsi="Consolas"/>
                <w:sz w:val="16"/>
                <w:szCs w:val="16"/>
              </w:rPr>
              <w:t xml:space="preserve">config.risk_question</w:t>
            </w:r>
            <w:r>
              <w:rPr>
                <w:rFonts w:ascii="Calibri" w:cs="Calibri" w:eastAsia="Calibri" w:hAnsi="Calibri"/>
                <w:sz w:val="18"/>
                <w:szCs w:val="18"/>
              </w:rPr>
              <w:t xml:space="preserve">, and every question is classified auto-populated, conditional or human-answered with its named data binding recorded</w:t>
            </w:r>
          </w:p>
        </w:tc>
        <w:tc>
          <w:tcPr>
            <w:tcW w:type="dxa" w:w="4180"/>
            <w:tcMar>
              <w:top w:type="dxa" w:w="90"/>
              <w:left w:type="dxa" w:w="120"/>
              <w:bottom w:type="dxa" w:w="90"/>
              <w:right w:type="dxa" w:w="120"/>
            </w:tcMar>
          </w:tcPr>
          <w:p>
            <w:pPr>
              <w:spacing w:after="0" w:line="252"/>
            </w:pPr>
            <w:r>
              <w:rPr>
                <w:rFonts w:ascii="Consolas" w:cs="Consolas" w:eastAsia="Consolas" w:hAnsi="Consolas"/>
                <w:sz w:val="16"/>
                <w:szCs w:val="16"/>
              </w:rPr>
              <w:t xml:space="preserve">config.risk_question</w:t>
            </w:r>
            <w:r>
              <w:rPr>
                <w:rFonts w:ascii="Calibri" w:cs="Calibri" w:eastAsia="Calibri" w:hAnsi="Calibri"/>
                <w:sz w:val="18"/>
                <w:szCs w:val="18"/>
              </w:rPr>
              <w:t xml:space="preserve"> contents shown against the source instrument</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M3</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AC-08</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Draft responses carry lineage to the ledger</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Draft PRA responses exist for all 20 programs for FY2026 with prior-year comparison, and any auto-populated figure can be traced on screen to the contributing transaction identifiers</w:t>
            </w:r>
          </w:p>
        </w:tc>
        <w:tc>
          <w:tcPr>
            <w:tcW w:type="dxa" w:w="4180"/>
            <w:shd w:fill="F4F6F9" w:color="auto" w:val="clear"/>
            <w:tcMar>
              <w:top w:type="dxa" w:w="90"/>
              <w:left w:type="dxa" w:w="120"/>
              <w:bottom w:type="dxa" w:w="90"/>
              <w:right w:type="dxa" w:w="120"/>
            </w:tcMar>
          </w:tcPr>
          <w:p>
            <w:pPr>
              <w:spacing w:after="0" w:line="252"/>
            </w:pPr>
            <w:r>
              <w:rPr>
                <w:rFonts w:ascii="Consolas" w:cs="Consolas" w:eastAsia="Consolas" w:hAnsi="Consolas"/>
                <w:sz w:val="16"/>
                <w:szCs w:val="16"/>
              </w:rPr>
              <w:t xml:space="preserve">gold.risk_response</w:t>
            </w:r>
            <w:r>
              <w:rPr>
                <w:rFonts w:ascii="Calibri" w:cs="Calibri" w:eastAsia="Calibri" w:hAnsi="Calibri"/>
                <w:sz w:val="18"/>
                <w:szCs w:val="18"/>
              </w:rPr>
              <w:t xml:space="preserve"> plus a live lineage query from a single answer down to </w:t>
            </w:r>
            <w:r>
              <w:rPr>
                <w:rFonts w:ascii="Consolas" w:cs="Consolas" w:eastAsia="Consolas" w:hAnsi="Consolas"/>
                <w:sz w:val="16"/>
                <w:szCs w:val="16"/>
              </w:rPr>
              <w:t xml:space="preserve">txn_id</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M4</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AC-09</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A human signs off, and the record proves it</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A reviewer authenticated through FEMA identity can approve, override with a mandatory reason, and finalize; nothing reaches final status without sign-off; every action appears in </w:t>
            </w:r>
            <w:r>
              <w:rPr>
                <w:rFonts w:ascii="Consolas" w:cs="Consolas" w:eastAsia="Consolas" w:hAnsi="Consolas"/>
                <w:sz w:val="16"/>
                <w:szCs w:val="16"/>
              </w:rPr>
              <w:t xml:space="preserve">review.audit_event</w:t>
            </w:r>
            <w:r>
              <w:rPr>
                <w:rFonts w:ascii="Calibri" w:cs="Calibri" w:eastAsia="Calibri" w:hAnsi="Calibri"/>
                <w:sz w:val="18"/>
                <w:szCs w:val="18"/>
              </w:rPr>
              <w:t xml:space="preserve"> with the acting identity</w:t>
            </w:r>
          </w:p>
        </w:tc>
        <w:tc>
          <w:tcPr>
            <w:tcW w:type="dxa" w:w="4180"/>
            <w:tcMar>
              <w:top w:type="dxa" w:w="90"/>
              <w:left w:type="dxa" w:w="120"/>
              <w:bottom w:type="dxa" w:w="90"/>
              <w:right w:type="dxa" w:w="120"/>
            </w:tcMar>
          </w:tcPr>
          <w:p>
            <w:pPr>
              <w:spacing w:after="0" w:line="252"/>
            </w:pPr>
            <w:r>
              <w:rPr>
                <w:rFonts w:ascii="Calibri" w:cs="Calibri" w:eastAsia="Calibri" w:hAnsi="Calibri"/>
                <w:sz w:val="18"/>
                <w:szCs w:val="18"/>
              </w:rPr>
              <w:t xml:space="preserve">Live walkthrough by a FEMA reviewer; audit query over that session</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M4</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AC-10</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AI explains, never computes</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Rationale text is generated only via the FEMA-approved endpoint, is labelled as AI-generated, and any numeral appearing in generated text is validated against the source figure — a mismatch quarantines the row rather than publishing it</w:t>
            </w:r>
          </w:p>
        </w:tc>
        <w:tc>
          <w:tcPr>
            <w:tcW w:type="dxa" w:w="4180"/>
            <w:shd w:fill="F4F6F9" w:color="auto" w:val="clear"/>
            <w:tcMar>
              <w:top w:type="dxa" w:w="90"/>
              <w:left w:type="dxa" w:w="120"/>
              <w:bottom w:type="dxa" w:w="90"/>
              <w:right w:type="dxa" w:w="120"/>
            </w:tcMar>
          </w:tcPr>
          <w:p>
            <w:pPr>
              <w:spacing w:after="0" w:line="252"/>
            </w:pPr>
            <w:r>
              <w:rPr>
                <w:rFonts w:ascii="Consolas" w:cs="Consolas" w:eastAsia="Consolas" w:hAnsi="Consolas"/>
                <w:sz w:val="16"/>
                <w:szCs w:val="16"/>
              </w:rPr>
              <w:t xml:space="preserve">explain</w:t>
            </w:r>
            <w:r>
              <w:rPr>
                <w:rFonts w:ascii="Calibri" w:cs="Calibri" w:eastAsia="Calibri" w:hAnsi="Calibri"/>
                <w:sz w:val="18"/>
                <w:szCs w:val="18"/>
              </w:rPr>
              <w:t xml:space="preserve"> task logs showing a deliberately induced mismatch being quarantined; MLflow evaluation record</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M4</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AC-11</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Downstream teams can consume the output</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Spend summary and PRA package exports are produced to a Volume in the agreed formats and reconcile exactly to </w:t>
            </w:r>
            <w:r>
              <w:rPr>
                <w:rFonts w:ascii="Consolas" w:cs="Consolas" w:eastAsia="Consolas" w:hAnsi="Consolas"/>
                <w:sz w:val="16"/>
                <w:szCs w:val="16"/>
              </w:rPr>
              <w:t xml:space="preserve">gold.*</w:t>
            </w:r>
          </w:p>
        </w:tc>
        <w:tc>
          <w:tcPr>
            <w:tcW w:type="dxa" w:w="4180"/>
            <w:tcMar>
              <w:top w:type="dxa" w:w="90"/>
              <w:left w:type="dxa" w:w="120"/>
              <w:bottom w:type="dxa" w:w="90"/>
              <w:right w:type="dxa" w:w="120"/>
            </w:tcMar>
          </w:tcPr>
          <w:p>
            <w:pPr>
              <w:spacing w:after="0" w:line="252"/>
            </w:pPr>
            <w:r>
              <w:rPr>
                <w:rFonts w:ascii="Calibri" w:cs="Calibri" w:eastAsia="Calibri" w:hAnsi="Calibri"/>
                <w:sz w:val="18"/>
                <w:szCs w:val="18"/>
              </w:rPr>
              <w:t xml:space="preserve">Export files plus a diff against the source tables</w:t>
            </w:r>
          </w:p>
        </w:tc>
        <w:tc>
          <w:tcPr>
            <w:tcW w:type="dxa" w:w="1420"/>
            <w:tcMar>
              <w:top w:type="dxa" w:w="90"/>
              <w:left w:type="dxa" w:w="120"/>
              <w:bottom w:type="dxa" w:w="90"/>
              <w:right w:type="dxa" w:w="120"/>
            </w:tcMar>
          </w:tcPr>
          <w:p>
            <w:pPr>
              <w:spacing w:after="0" w:line="252"/>
            </w:pPr>
            <w:r>
              <w:rPr>
                <w:rFonts w:ascii="Calibri" w:cs="Calibri" w:eastAsia="Calibri" w:hAnsi="Calibri"/>
                <w:sz w:val="18"/>
                <w:szCs w:val="18"/>
              </w:rPr>
              <w:t xml:space="preserve">M4</w:t>
            </w:r>
          </w:p>
        </w:tc>
      </w:tr>
      <w:tr>
        <w:tc>
          <w:tcPr>
            <w:tcW w:type="dxa" w:w="10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AC-12</w:t>
            </w:r>
          </w:p>
        </w:tc>
        <w:tc>
          <w:tcPr>
            <w:tcW w:type="dxa" w:w="234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FEMA owns what was built</w:t>
            </w:r>
          </w:p>
        </w:tc>
        <w:tc>
          <w:tcPr>
            <w:tcW w:type="dxa" w:w="46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Documented repeatable methodology, summary deliverable (approach, confidence levels, validated codes, items needing further validation), results briefing and scaled-deployment outline are delivered; all code and configuration are in the FEMA-owned repository and deployable bundle; secrets rotated at handover</w:t>
            </w:r>
          </w:p>
        </w:tc>
        <w:tc>
          <w:tcPr>
            <w:tcW w:type="dxa" w:w="418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Documents; repository and bundle transfer; handover walkthrough</w:t>
            </w:r>
          </w:p>
        </w:tc>
        <w:tc>
          <w:tcPr>
            <w:tcW w:type="dxa" w:w="142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M5</w:t>
            </w:r>
          </w:p>
        </w:tc>
      </w:tr>
      <w:tr>
        <w:tc>
          <w:tcPr>
            <w:tcW w:type="dxa" w:w="1000"/>
            <w:tcMar>
              <w:top w:type="dxa" w:w="90"/>
              <w:left w:type="dxa" w:w="120"/>
              <w:bottom w:type="dxa" w:w="90"/>
              <w:right w:type="dxa" w:w="120"/>
            </w:tcMar>
          </w:tcPr>
          <w:p>
            <w:pPr>
              <w:spacing w:after="0" w:line="252"/>
            </w:pPr>
            <w:r>
              <w:rPr>
                <w:rFonts w:ascii="Calibri" w:cs="Calibri" w:eastAsia="Calibri" w:hAnsi="Calibri"/>
                <w:b/>
                <w:bCs/>
                <w:sz w:val="18"/>
                <w:szCs w:val="18"/>
              </w:rPr>
              <w:t xml:space="preserve">AC-13</w:t>
            </w:r>
          </w:p>
        </w:tc>
        <w:tc>
          <w:tcPr>
            <w:tcW w:type="dxa" w:w="2340"/>
            <w:tcMar>
              <w:top w:type="dxa" w:w="90"/>
              <w:left w:type="dxa" w:w="120"/>
              <w:bottom w:type="dxa" w:w="90"/>
              <w:right w:type="dxa" w:w="120"/>
            </w:tcMar>
          </w:tcPr>
          <w:p>
            <w:pPr>
              <w:spacing w:after="0" w:line="252"/>
            </w:pPr>
            <w:r>
              <w:rPr>
                <w:rFonts w:ascii="Calibri" w:cs="Calibri" w:eastAsia="Calibri" w:hAnsi="Calibri"/>
                <w:sz w:val="18"/>
                <w:szCs w:val="18"/>
              </w:rPr>
              <w:t xml:space="preserve">The engine is provably correct before it touches real data</w:t>
            </w:r>
          </w:p>
        </w:tc>
        <w:tc>
          <w:tcPr>
            <w:tcW w:type="dxa" w:w="4600"/>
            <w:tcMar>
              <w:top w:type="dxa" w:w="90"/>
              <w:left w:type="dxa" w:w="120"/>
              <w:bottom w:type="dxa" w:w="90"/>
              <w:right w:type="dxa" w:w="120"/>
            </w:tcMar>
          </w:tcPr>
          <w:p>
            <w:pPr>
              <w:spacing w:after="0" w:line="252"/>
            </w:pPr>
            <w:r>
              <w:rPr>
                <w:rFonts w:ascii="Calibri" w:cs="Calibri" w:eastAsia="Calibri" w:hAnsi="Calibri"/>
                <w:sz w:val="18"/>
                <w:szCs w:val="18"/>
              </w:rPr>
              <w:t xml:space="preserve">The engine reproduces a committed reference dataset </w:t>
            </w:r>
            <w:r>
              <w:rPr>
                <w:rFonts w:ascii="Calibri" w:cs="Calibri" w:eastAsia="Calibri" w:hAnsi="Calibri"/>
                <w:b/>
                <w:bCs/>
                <w:sz w:val="18"/>
                <w:szCs w:val="18"/>
              </w:rPr>
              <w:t xml:space="preserve">exactly</w:t>
            </w:r>
            <w:r>
              <w:rPr>
                <w:rFonts w:ascii="Calibri" w:cs="Calibri" w:eastAsia="Calibri" w:hAnsi="Calibri"/>
                <w:sz w:val="18"/>
                <w:szCs w:val="18"/>
              </w:rPr>
              <w:t xml:space="preserve"> — every value of the mapping, spend summary, fiscal-year summary and risk-response tables — from the transaction ledger and the rules alone, as an automated test that runs on every change</w:t>
            </w:r>
          </w:p>
        </w:tc>
        <w:tc>
          <w:tcPr>
            <w:tcW w:type="dxa" w:w="4180"/>
            <w:tcMar>
              <w:top w:type="dxa" w:w="90"/>
              <w:left w:type="dxa" w:w="120"/>
              <w:bottom w:type="dxa" w:w="90"/>
              <w:right w:type="dxa" w:w="120"/>
            </w:tcMar>
          </w:tcPr>
          <w:p>
            <w:pPr>
              <w:spacing w:after="0" w:line="252"/>
            </w:pPr>
            <w:r>
              <w:rPr>
                <w:rFonts w:ascii="Calibri" w:cs="Calibri" w:eastAsia="Calibri" w:hAnsi="Calibri"/>
                <w:sz w:val="18"/>
                <w:szCs w:val="18"/>
              </w:rPr>
              <w:t xml:space="preserve">Test suite executed live against the reference dataset; value count reported</w:t>
            </w:r>
          </w:p>
        </w:tc>
        <w:tc>
          <w:tcPr>
            <w:tcW w:type="dxa" w:w="1420"/>
            <w:tcMar>
              <w:top w:type="dxa" w:w="90"/>
              <w:left w:type="dxa" w:w="120"/>
              <w:bottom w:type="dxa" w:w="90"/>
              <w:right w:type="dxa" w:w="120"/>
            </w:tcMar>
          </w:tcPr>
          <w:p>
            <w:pPr>
              <w:spacing w:after="0" w:line="252"/>
            </w:pPr>
            <w:r>
              <w:rPr>
                <w:rFonts w:ascii="Calibri" w:cs="Calibri" w:eastAsia="Calibri" w:hAnsi="Calibri"/>
                <w:b/>
                <w:bCs/>
                <w:sz w:val="18"/>
                <w:szCs w:val="18"/>
              </w:rPr>
              <w:t xml:space="preserve">M1</w:t>
            </w:r>
          </w:p>
        </w:tc>
      </w:tr>
    </w:tbl>
    <w:p>
      <w:pPr>
        <w:spacing w:after="180"/>
      </w:pPr>
      <w:r>
        <w:rPr>
          <w:sz w:val="8"/>
          <w:szCs w:val="8"/>
        </w:rPr>
        <w:t xml:space="preserve"/>
      </w:r>
    </w:p>
    <w:p>
      <w:pPr>
        <w:spacing w:after="140" w:line="264"/>
      </w:pPr>
      <w:r>
        <w:rPr>
          <w:rFonts w:ascii="Calibri" w:cs="Calibri" w:eastAsia="Calibri" w:hAnsi="Calibri"/>
          <w:b/>
          <w:bCs/>
          <w:sz w:val="21"/>
          <w:szCs w:val="21"/>
        </w:rPr>
        <w:t xml:space="preserve">A note on AC-13.</w:t>
      </w:r>
      <w:r>
        <w:rPr>
          <w:rFonts w:ascii="Calibri" w:cs="Calibri" w:eastAsia="Calibri" w:hAnsi="Calibri"/>
          <w:sz w:val="21"/>
          <w:szCs w:val="21"/>
        </w:rPr>
        <w:t xml:space="preserve"> This one is already met and can be demonstrated at kickoff. The engine reproduces </w:t>
      </w:r>
      <w:r>
        <w:rPr>
          <w:rFonts w:ascii="Calibri" w:cs="Calibri" w:eastAsia="Calibri" w:hAnsi="Calibri"/>
          <w:b/>
          <w:bCs/>
          <w:sz w:val="21"/>
          <w:szCs w:val="21"/>
        </w:rPr>
        <w:t xml:space="preserve">4,014 committed values</w:t>
      </w:r>
      <w:r>
        <w:rPr>
          <w:rFonts w:ascii="Calibri" w:cs="Calibri" w:eastAsia="Calibri" w:hAnsi="Calibri"/>
          <w:sz w:val="21"/>
          <w:szCs w:val="21"/>
        </w:rPr>
        <w:t xml:space="preserve"> across four tables from the transaction ledger plus the rules in force, on both the off-platform and Spark execution paths, and re-checks them after a Delta round trip. We propose it as a criterion because it is the cheapest possible early proof that the deterministic core is sound, and because it gives FEMA a concrete acceptance event in the first weeks rather than only in February.</w:t>
      </w:r>
    </w:p>
    <w:p>
      <w:pPr>
        <w:sectPr>
          <w:footerReference w:type="default" r:id="rId8"/>
          <w:pgSz w:w="15840" w:h="12240" w:orient="landscape"/>
          <w:pgMar w:top="1150" w:right="1150" w:bottom="1150" w:left="1150" w:header="708" w:footer="708" w:gutter="0"/>
          <w:pgNumType/>
          <w:docGrid w:linePitch="360"/>
        </w:sectPr>
      </w:pPr>
    </w:p>
    <w:p>
      <w:pPr>
        <w:pStyle w:val="Heading1"/>
        <w:spacing w:after="160" w:before="360"/>
      </w:pPr>
      <w:r>
        <w:rPr>
          <w:rFonts w:ascii="Calibri" w:cs="Calibri" w:eastAsia="Calibri" w:hAnsi="Calibri"/>
          <w:b/>
          <w:bCs/>
          <w:color w:val="1F3A5F"/>
          <w:sz w:val="26"/>
          <w:szCs w:val="26"/>
        </w:rPr>
        <w:t xml:space="preserve">7.  Demonstration milestones</w:t>
      </w:r>
    </w:p>
    <w:p>
      <w:pPr>
        <w:spacing w:after="140" w:line="264"/>
      </w:pPr>
      <w:r>
        <w:rPr>
          <w:rFonts w:ascii="Calibri" w:cs="Calibri" w:eastAsia="Calibri" w:hAnsi="Calibri"/>
          <w:sz w:val="21"/>
          <w:szCs w:val="21"/>
        </w:rPr>
        <w:t xml:space="preserve">We propose acceptance be demonstrated in stages rather than once at the end. Each stage is a working session with the product owner; criteria accepted at a stage are not reopened unless the underlying code or configuration changes.</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700"/>
        <w:gridCol w:w="2900"/>
        <w:gridCol w:w="2200"/>
        <w:gridCol w:w="3560"/>
      </w:tblGrid>
      <w:tr>
        <w:trPr>
          <w:tblHeader/>
        </w:trPr>
        <w:tc>
          <w:tcPr>
            <w:tcW w:type="dxa" w:w="7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
            </w:r>
          </w:p>
        </w:tc>
        <w:tc>
          <w:tcPr>
            <w:tcW w:type="dxa" w:w="29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Milestone</w:t>
            </w:r>
          </w:p>
        </w:tc>
        <w:tc>
          <w:tcPr>
            <w:tcW w:type="dxa" w:w="22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Indicative timing</w:t>
            </w:r>
          </w:p>
        </w:tc>
        <w:tc>
          <w:tcPr>
            <w:tcW w:type="dxa" w:w="356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Criteria demonstrated</w:t>
            </w:r>
          </w:p>
        </w:tc>
      </w:tr>
      <w:tr>
        <w:tc>
          <w:tcPr>
            <w:tcW w:type="dxa" w:w="700"/>
            <w:tcMar>
              <w:top w:type="dxa" w:w="90"/>
              <w:left w:type="dxa" w:w="120"/>
              <w:bottom w:type="dxa" w:w="90"/>
              <w:right w:type="dxa" w:w="120"/>
            </w:tcMar>
          </w:tcPr>
          <w:p>
            <w:pPr>
              <w:spacing w:after="0" w:line="252"/>
            </w:pPr>
            <w:r>
              <w:rPr>
                <w:rFonts w:ascii="Calibri" w:cs="Calibri" w:eastAsia="Calibri" w:hAnsi="Calibri"/>
                <w:b/>
                <w:bCs/>
                <w:sz w:val="18"/>
                <w:szCs w:val="18"/>
              </w:rPr>
              <w:t xml:space="preserve">M1</w:t>
            </w:r>
          </w:p>
        </w:tc>
        <w:tc>
          <w:tcPr>
            <w:tcW w:type="dxa" w:w="2900"/>
            <w:tcMar>
              <w:top w:type="dxa" w:w="90"/>
              <w:left w:type="dxa" w:w="120"/>
              <w:bottom w:type="dxa" w:w="90"/>
              <w:right w:type="dxa" w:w="120"/>
            </w:tcMar>
          </w:tcPr>
          <w:p>
            <w:pPr>
              <w:spacing w:after="0" w:line="252"/>
            </w:pPr>
            <w:r>
              <w:rPr>
                <w:rFonts w:ascii="Calibri" w:cs="Calibri" w:eastAsia="Calibri" w:hAnsi="Calibri"/>
                <w:sz w:val="18"/>
                <w:szCs w:val="18"/>
              </w:rPr>
              <w:t xml:space="preserve">Platform and engine proof — on synthetic reference data, before real extracts exist</w:t>
            </w:r>
          </w:p>
        </w:tc>
        <w:tc>
          <w:tcPr>
            <w:tcW w:type="dxa" w:w="2200"/>
            <w:tcMar>
              <w:top w:type="dxa" w:w="90"/>
              <w:left w:type="dxa" w:w="120"/>
              <w:bottom w:type="dxa" w:w="90"/>
              <w:right w:type="dxa" w:w="120"/>
            </w:tcMar>
          </w:tcPr>
          <w:p>
            <w:pPr>
              <w:spacing w:after="0" w:line="252"/>
            </w:pPr>
            <w:r>
              <w:rPr>
                <w:rFonts w:ascii="Calibri" w:cs="Calibri" w:eastAsia="Calibri" w:hAnsi="Calibri"/>
                <w:sz w:val="18"/>
                <w:szCs w:val="18"/>
              </w:rPr>
              <w:t xml:space="preserve">Early October</w:t>
            </w:r>
          </w:p>
        </w:tc>
        <w:tc>
          <w:tcPr>
            <w:tcW w:type="dxa" w:w="3560"/>
            <w:tcMar>
              <w:top w:type="dxa" w:w="90"/>
              <w:left w:type="dxa" w:w="120"/>
              <w:bottom w:type="dxa" w:w="90"/>
              <w:right w:type="dxa" w:w="120"/>
            </w:tcMar>
          </w:tcPr>
          <w:p>
            <w:pPr>
              <w:spacing w:after="0" w:line="252"/>
            </w:pPr>
            <w:r>
              <w:rPr>
                <w:rFonts w:ascii="Calibri" w:cs="Calibri" w:eastAsia="Calibri" w:hAnsi="Calibri"/>
                <w:sz w:val="18"/>
                <w:szCs w:val="18"/>
              </w:rPr>
              <w:t xml:space="preserve">AC-13, AC-02</w:t>
            </w:r>
          </w:p>
        </w:tc>
      </w:tr>
      <w:tr>
        <w:tc>
          <w:tcPr>
            <w:tcW w:type="dxa" w:w="7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M2</w:t>
            </w:r>
          </w:p>
        </w:tc>
        <w:tc>
          <w:tcPr>
            <w:tcW w:type="dxa" w:w="2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Real extract through the pipeline</w:t>
            </w:r>
          </w:p>
        </w:tc>
        <w:tc>
          <w:tcPr>
            <w:tcW w:type="dxa" w:w="22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Late October / early November</w:t>
            </w:r>
          </w:p>
        </w:tc>
        <w:tc>
          <w:tcPr>
            <w:tcW w:type="dxa" w:w="35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AC-01, AC-03, AC-05</w:t>
            </w:r>
          </w:p>
        </w:tc>
      </w:tr>
      <w:tr>
        <w:tc>
          <w:tcPr>
            <w:tcW w:type="dxa" w:w="700"/>
            <w:tcMar>
              <w:top w:type="dxa" w:w="90"/>
              <w:left w:type="dxa" w:w="120"/>
              <w:bottom w:type="dxa" w:w="90"/>
              <w:right w:type="dxa" w:w="120"/>
            </w:tcMar>
          </w:tcPr>
          <w:p>
            <w:pPr>
              <w:spacing w:after="0" w:line="252"/>
            </w:pPr>
            <w:r>
              <w:rPr>
                <w:rFonts w:ascii="Calibri" w:cs="Calibri" w:eastAsia="Calibri" w:hAnsi="Calibri"/>
                <w:b/>
                <w:bCs/>
                <w:sz w:val="18"/>
                <w:szCs w:val="18"/>
              </w:rPr>
              <w:t xml:space="preserve">M3</w:t>
            </w:r>
          </w:p>
        </w:tc>
        <w:tc>
          <w:tcPr>
            <w:tcW w:type="dxa" w:w="2900"/>
            <w:tcMar>
              <w:top w:type="dxa" w:w="90"/>
              <w:left w:type="dxa" w:w="120"/>
              <w:bottom w:type="dxa" w:w="90"/>
              <w:right w:type="dxa" w:w="120"/>
            </w:tcMar>
          </w:tcPr>
          <w:p>
            <w:pPr>
              <w:spacing w:after="0" w:line="252"/>
            </w:pPr>
            <w:r>
              <w:rPr>
                <w:rFonts w:ascii="Calibri" w:cs="Calibri" w:eastAsia="Calibri" w:hAnsi="Calibri"/>
                <w:sz w:val="18"/>
                <w:szCs w:val="18"/>
              </w:rPr>
              <w:t xml:space="preserve">Mapping validated; instrument loaded</w:t>
            </w:r>
          </w:p>
        </w:tc>
        <w:tc>
          <w:tcPr>
            <w:tcW w:type="dxa" w:w="2200"/>
            <w:tcMar>
              <w:top w:type="dxa" w:w="90"/>
              <w:left w:type="dxa" w:w="120"/>
              <w:bottom w:type="dxa" w:w="90"/>
              <w:right w:type="dxa" w:w="120"/>
            </w:tcMar>
          </w:tcPr>
          <w:p>
            <w:pPr>
              <w:spacing w:after="0" w:line="252"/>
            </w:pPr>
            <w:r>
              <w:rPr>
                <w:rFonts w:ascii="Calibri" w:cs="Calibri" w:eastAsia="Calibri" w:hAnsi="Calibri"/>
                <w:sz w:val="18"/>
                <w:szCs w:val="18"/>
              </w:rPr>
              <w:t xml:space="preserve">Late November</w:t>
            </w:r>
          </w:p>
        </w:tc>
        <w:tc>
          <w:tcPr>
            <w:tcW w:type="dxa" w:w="3560"/>
            <w:tcMar>
              <w:top w:type="dxa" w:w="90"/>
              <w:left w:type="dxa" w:w="120"/>
              <w:bottom w:type="dxa" w:w="90"/>
              <w:right w:type="dxa" w:w="120"/>
            </w:tcMar>
          </w:tcPr>
          <w:p>
            <w:pPr>
              <w:spacing w:after="0" w:line="252"/>
            </w:pPr>
            <w:r>
              <w:rPr>
                <w:rFonts w:ascii="Calibri" w:cs="Calibri" w:eastAsia="Calibri" w:hAnsi="Calibri"/>
                <w:sz w:val="18"/>
                <w:szCs w:val="18"/>
              </w:rPr>
              <w:t xml:space="preserve">AC-04, AC-06, AC-07</w:t>
            </w:r>
          </w:p>
        </w:tc>
      </w:tr>
      <w:tr>
        <w:tc>
          <w:tcPr>
            <w:tcW w:type="dxa" w:w="700"/>
            <w:shd w:fill="F4F6F9" w:color="auto" w:val="clear"/>
            <w:tcMar>
              <w:top w:type="dxa" w:w="90"/>
              <w:left w:type="dxa" w:w="120"/>
              <w:bottom w:type="dxa" w:w="90"/>
              <w:right w:type="dxa" w:w="120"/>
            </w:tcMar>
          </w:tcPr>
          <w:p>
            <w:pPr>
              <w:spacing w:after="0" w:line="252"/>
            </w:pPr>
            <w:r>
              <w:rPr>
                <w:rFonts w:ascii="Calibri" w:cs="Calibri" w:eastAsia="Calibri" w:hAnsi="Calibri"/>
                <w:b/>
                <w:bCs/>
                <w:sz w:val="18"/>
                <w:szCs w:val="18"/>
              </w:rPr>
              <w:t xml:space="preserve">M4</w:t>
            </w:r>
          </w:p>
        </w:tc>
        <w:tc>
          <w:tcPr>
            <w:tcW w:type="dxa" w:w="2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Full run, review and sign-off</w:t>
            </w:r>
          </w:p>
        </w:tc>
        <w:tc>
          <w:tcPr>
            <w:tcW w:type="dxa" w:w="22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Late January</w:t>
            </w:r>
          </w:p>
        </w:tc>
        <w:tc>
          <w:tcPr>
            <w:tcW w:type="dxa" w:w="35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AC-08, AC-09, AC-10, AC-11, and AC-02 re-shown on real data</w:t>
            </w:r>
          </w:p>
        </w:tc>
      </w:tr>
      <w:tr>
        <w:tc>
          <w:tcPr>
            <w:tcW w:type="dxa" w:w="700"/>
            <w:tcMar>
              <w:top w:type="dxa" w:w="90"/>
              <w:left w:type="dxa" w:w="120"/>
              <w:bottom w:type="dxa" w:w="90"/>
              <w:right w:type="dxa" w:w="120"/>
            </w:tcMar>
          </w:tcPr>
          <w:p>
            <w:pPr>
              <w:spacing w:after="0" w:line="252"/>
            </w:pPr>
            <w:r>
              <w:rPr>
                <w:rFonts w:ascii="Calibri" w:cs="Calibri" w:eastAsia="Calibri" w:hAnsi="Calibri"/>
                <w:b/>
                <w:bCs/>
                <w:sz w:val="18"/>
                <w:szCs w:val="18"/>
              </w:rPr>
              <w:t xml:space="preserve">M5</w:t>
            </w:r>
          </w:p>
        </w:tc>
        <w:tc>
          <w:tcPr>
            <w:tcW w:type="dxa" w:w="2900"/>
            <w:tcMar>
              <w:top w:type="dxa" w:w="90"/>
              <w:left w:type="dxa" w:w="120"/>
              <w:bottom w:type="dxa" w:w="90"/>
              <w:right w:type="dxa" w:w="120"/>
            </w:tcMar>
          </w:tcPr>
          <w:p>
            <w:pPr>
              <w:spacing w:after="0" w:line="252"/>
            </w:pPr>
            <w:r>
              <w:rPr>
                <w:rFonts w:ascii="Calibri" w:cs="Calibri" w:eastAsia="Calibri" w:hAnsi="Calibri"/>
                <w:sz w:val="18"/>
                <w:szCs w:val="18"/>
              </w:rPr>
              <w:t xml:space="preserve">Handover</w:t>
            </w:r>
          </w:p>
        </w:tc>
        <w:tc>
          <w:tcPr>
            <w:tcW w:type="dxa" w:w="2200"/>
            <w:tcMar>
              <w:top w:type="dxa" w:w="90"/>
              <w:left w:type="dxa" w:w="120"/>
              <w:bottom w:type="dxa" w:w="90"/>
              <w:right w:type="dxa" w:w="120"/>
            </w:tcMar>
          </w:tcPr>
          <w:p>
            <w:pPr>
              <w:spacing w:after="0" w:line="252"/>
            </w:pPr>
            <w:r>
              <w:rPr>
                <w:rFonts w:ascii="Calibri" w:cs="Calibri" w:eastAsia="Calibri" w:hAnsi="Calibri"/>
                <w:sz w:val="18"/>
                <w:szCs w:val="18"/>
              </w:rPr>
              <w:t xml:space="preserve">February, before 2027-02-18</w:t>
            </w:r>
          </w:p>
        </w:tc>
        <w:tc>
          <w:tcPr>
            <w:tcW w:type="dxa" w:w="3560"/>
            <w:tcMar>
              <w:top w:type="dxa" w:w="90"/>
              <w:left w:type="dxa" w:w="120"/>
              <w:bottom w:type="dxa" w:w="90"/>
              <w:right w:type="dxa" w:w="120"/>
            </w:tcMar>
          </w:tcPr>
          <w:p>
            <w:pPr>
              <w:spacing w:after="0" w:line="252"/>
            </w:pPr>
            <w:r>
              <w:rPr>
                <w:rFonts w:ascii="Calibri" w:cs="Calibri" w:eastAsia="Calibri" w:hAnsi="Calibri"/>
                <w:sz w:val="18"/>
                <w:szCs w:val="18"/>
              </w:rPr>
              <w:t xml:space="preserve">AC-12</w:t>
            </w:r>
          </w:p>
        </w:tc>
      </w:tr>
    </w:tbl>
    <w:p>
      <w:pPr>
        <w:spacing w:after="160"/>
      </w:pPr>
      <w:r>
        <w:rPr>
          <w:sz w:val="8"/>
          <w:szCs w:val="8"/>
        </w:rPr>
        <w:t xml:space="preserve"/>
      </w:r>
    </w:p>
    <w:p>
      <w:pPr>
        <w:spacing w:after="140" w:line="264"/>
      </w:pPr>
      <w:r>
        <w:rPr>
          <w:rFonts w:ascii="Calibri" w:cs="Calibri" w:eastAsia="Calibri" w:hAnsi="Calibri"/>
          <w:sz w:val="21"/>
          <w:szCs w:val="21"/>
        </w:rPr>
        <w:t xml:space="preserve">Indicative timings follow the delivery plan and move with the dependency dates in section 3.</w:t>
      </w:r>
    </w:p>
    <w:p>
      <w:pPr>
        <w:pStyle w:val="Heading1"/>
        <w:spacing w:after="160" w:before="360"/>
      </w:pPr>
      <w:r>
        <w:rPr>
          <w:rFonts w:ascii="Calibri" w:cs="Calibri" w:eastAsia="Calibri" w:hAnsi="Calibri"/>
          <w:b/>
          <w:bCs/>
          <w:color w:val="1F3A5F"/>
          <w:sz w:val="26"/>
          <w:szCs w:val="26"/>
        </w:rPr>
        <w:t xml:space="preserve">8.  Acceptance process</w:t>
      </w:r>
    </w:p>
    <w:p>
      <w:pPr>
        <w:pStyle w:val="ListParagraph"/>
        <w:numPr>
          <w:ilvl w:val="0"/>
          <w:numId w:val="3"/>
        </w:numPr>
        <w:spacing w:after="100" w:line="264"/>
      </w:pPr>
      <w:r>
        <w:rPr>
          <w:rFonts w:ascii="Calibri" w:cs="Calibri" w:eastAsia="Calibri" w:hAnsi="Calibri"/>
          <w:sz w:val="21"/>
          <w:szCs w:val="21"/>
        </w:rPr>
        <w:t xml:space="preserve">Guidehouse demonstrates the criteria for a milestone and provides the evidence named in section 6.</w:t>
      </w:r>
    </w:p>
    <w:p>
      <w:pPr>
        <w:pStyle w:val="ListParagraph"/>
        <w:numPr>
          <w:ilvl w:val="0"/>
          <w:numId w:val="3"/>
        </w:numPr>
        <w:spacing w:after="100" w:line="264"/>
      </w:pPr>
      <w:r>
        <w:rPr>
          <w:rFonts w:ascii="Calibri" w:cs="Calibri" w:eastAsia="Calibri" w:hAnsi="Calibri"/>
          <w:sz w:val="21"/>
          <w:szCs w:val="21"/>
        </w:rPr>
        <w:t xml:space="preserve">FEMA responds in writing within the agreed acceptance window (section 2, item 7) with acceptance, or with specific criteria not met and the reason.</w:t>
      </w:r>
    </w:p>
    <w:p>
      <w:pPr>
        <w:pStyle w:val="ListParagraph"/>
        <w:numPr>
          <w:ilvl w:val="0"/>
          <w:numId w:val="3"/>
        </w:numPr>
        <w:spacing w:after="100" w:line="264"/>
      </w:pPr>
      <w:r>
        <w:rPr>
          <w:rFonts w:ascii="Calibri" w:cs="Calibri" w:eastAsia="Calibri" w:hAnsi="Calibri"/>
          <w:sz w:val="21"/>
          <w:szCs w:val="21"/>
        </w:rPr>
        <w:t xml:space="preserve">Where a criterion is not met, Guidehouse proposes a remediation and a date; the criterion is re-demonstrated at the next milestone or in a dedicated session.</w:t>
      </w:r>
    </w:p>
    <w:p>
      <w:pPr>
        <w:pStyle w:val="ListParagraph"/>
        <w:numPr>
          <w:ilvl w:val="0"/>
          <w:numId w:val="3"/>
        </w:numPr>
        <w:spacing w:after="100" w:line="264"/>
      </w:pPr>
      <w:r>
        <w:rPr>
          <w:rFonts w:ascii="Calibri" w:cs="Calibri" w:eastAsia="Calibri" w:hAnsi="Calibri"/>
          <w:sz w:val="21"/>
          <w:szCs w:val="21"/>
        </w:rPr>
        <w:t xml:space="preserve">Where a criterion is </w:t>
      </w:r>
      <w:r>
        <w:rPr>
          <w:rFonts w:ascii="Calibri" w:cs="Calibri" w:eastAsia="Calibri" w:hAnsi="Calibri"/>
          <w:b/>
          <w:bCs/>
          <w:sz w:val="21"/>
          <w:szCs w:val="21"/>
        </w:rPr>
        <w:t xml:space="preserve">deferred</w:t>
      </w:r>
      <w:r>
        <w:rPr>
          <w:rFonts w:ascii="Calibri" w:cs="Calibri" w:eastAsia="Calibri" w:hAnsi="Calibri"/>
          <w:sz w:val="21"/>
          <w:szCs w:val="21"/>
        </w:rPr>
        <w:t xml:space="preserve"> under section 3, the record states which dependency was outstanding and from when.</w:t>
      </w:r>
    </w:p>
    <w:p>
      <w:pPr>
        <w:pStyle w:val="ListParagraph"/>
        <w:numPr>
          <w:ilvl w:val="0"/>
          <w:numId w:val="3"/>
        </w:numPr>
        <w:spacing w:after="100" w:line="264"/>
      </w:pPr>
      <w:r>
        <w:rPr>
          <w:rFonts w:ascii="Calibri" w:cs="Calibri" w:eastAsia="Calibri" w:hAnsi="Calibri"/>
          <w:sz w:val="21"/>
          <w:szCs w:val="21"/>
        </w:rPr>
        <w:t xml:space="preserve">Acceptance of the proof of concept overall is the acceptance of AC-01 through AC-13, each either accepted or formally deferred, at M5.</w:t>
      </w:r>
    </w:p>
    <w:p>
      <w:pPr>
        <w:spacing w:after="140" w:line="264"/>
      </w:pPr>
      <w:r>
        <w:rPr>
          <w:rFonts w:ascii="Calibri" w:cs="Calibri" w:eastAsia="Calibri" w:hAnsi="Calibri"/>
          <w:sz w:val="21"/>
          <w:szCs w:val="21"/>
        </w:rPr>
        <w:t xml:space="preserve">A criterion is never accepted or rejected on the basis of a figure this document has stated will be measured rather than guaranteed (section 5).</w:t>
      </w:r>
    </w:p>
    <w:p>
      <w:pPr>
        <w:pStyle w:val="Heading1"/>
        <w:spacing w:after="160" w:before="360"/>
      </w:pPr>
      <w:r>
        <w:rPr>
          <w:rFonts w:ascii="Calibri" w:cs="Calibri" w:eastAsia="Calibri" w:hAnsi="Calibri"/>
          <w:b/>
          <w:bCs/>
          <w:color w:val="1F3A5F"/>
          <w:sz w:val="26"/>
          <w:szCs w:val="26"/>
        </w:rPr>
        <w:t xml:space="preserve">9.  Traceability</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900"/>
        <w:gridCol w:w="3800"/>
        <w:gridCol w:w="4660"/>
      </w:tblGrid>
      <w:tr>
        <w:trPr>
          <w:tblHeader/>
        </w:trPr>
        <w:tc>
          <w:tcPr>
            <w:tcW w:type="dxa" w:w="9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AC</w:t>
            </w:r>
          </w:p>
        </w:tc>
        <w:tc>
          <w:tcPr>
            <w:tcW w:type="dxa" w:w="380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SOW Phase 1 item</w:t>
            </w:r>
          </w:p>
        </w:tc>
        <w:tc>
          <w:tcPr>
            <w:tcW w:type="dxa" w:w="4660"/>
            <w:shd w:fill="1F3A5F" w:color="auto"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Design reference</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AC-01</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Ingestion via schema-mapping adapter</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06 A2; </w:t>
            </w:r>
            <w:r>
              <w:rPr>
                <w:rFonts w:ascii="Consolas" w:cs="Consolas" w:eastAsia="Consolas" w:hAnsi="Consolas"/>
                <w:sz w:val="16"/>
                <w:szCs w:val="16"/>
              </w:rPr>
              <w:t xml:space="preserve">REQ-001</w:t>
            </w:r>
            <w:r>
              <w:rPr>
                <w:rFonts w:ascii="Calibri" w:cs="Calibri" w:eastAsia="Calibri" w:hAnsi="Calibri"/>
                <w:sz w:val="18"/>
                <w:szCs w:val="18"/>
              </w:rPr>
              <w:t xml:space="preserve">, </w:t>
            </w:r>
            <w:r>
              <w:rPr>
                <w:rFonts w:ascii="Consolas" w:cs="Consolas" w:eastAsia="Consolas" w:hAnsi="Consolas"/>
                <w:sz w:val="16"/>
                <w:szCs w:val="16"/>
              </w:rPr>
              <w:t xml:space="preserve">ASSUMP-12</w:t>
            </w:r>
            <w:r>
              <w:rPr>
                <w:rFonts w:ascii="Calibri" w:cs="Calibri" w:eastAsia="Calibri" w:hAnsi="Calibri"/>
                <w:sz w:val="18"/>
                <w:szCs w:val="18"/>
              </w:rPr>
              <w:t xml:space="preserve">, </w:t>
            </w:r>
            <w:r>
              <w:rPr>
                <w:rFonts w:ascii="Consolas" w:cs="Consolas" w:eastAsia="Consolas" w:hAnsi="Consolas"/>
                <w:sz w:val="16"/>
                <w:szCs w:val="16"/>
              </w:rPr>
              <w:t xml:space="preserve">DEC-14</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AC-02</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Deterministic cleansing, crosswalk, rollup</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09 §1; </w:t>
            </w:r>
            <w:r>
              <w:rPr>
                <w:rFonts w:ascii="Consolas" w:cs="Consolas" w:eastAsia="Consolas" w:hAnsi="Consolas"/>
                <w:sz w:val="16"/>
                <w:szCs w:val="16"/>
              </w:rPr>
              <w:t xml:space="preserve">DEC-05</w:t>
            </w:r>
            <w:r>
              <w:rPr>
                <w:rFonts w:ascii="Calibri" w:cs="Calibri" w:eastAsia="Calibri" w:hAnsi="Calibri"/>
                <w:sz w:val="18"/>
                <w:szCs w:val="18"/>
              </w:rPr>
              <w:t xml:space="preserve">, </w:t>
            </w:r>
            <w:r>
              <w:rPr>
                <w:rFonts w:ascii="Consolas" w:cs="Consolas" w:eastAsia="Consolas" w:hAnsi="Consolas"/>
                <w:sz w:val="16"/>
                <w:szCs w:val="16"/>
              </w:rPr>
              <w:t xml:space="preserve">PLT-13</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AC-03</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Confidence-based exception routing</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09 §2; </w:t>
            </w:r>
            <w:r>
              <w:rPr>
                <w:rFonts w:ascii="Consolas" w:cs="Consolas" w:eastAsia="Consolas" w:hAnsi="Consolas"/>
                <w:sz w:val="16"/>
                <w:szCs w:val="16"/>
              </w:rPr>
              <w:t xml:space="preserve">REQ-003</w:t>
            </w:r>
            <w:r>
              <w:rPr>
                <w:rFonts w:ascii="Calibri" w:cs="Calibri" w:eastAsia="Calibri" w:hAnsi="Calibri"/>
                <w:sz w:val="18"/>
                <w:szCs w:val="18"/>
              </w:rPr>
              <w:t xml:space="preserve">, </w:t>
            </w:r>
            <w:r>
              <w:rPr>
                <w:rFonts w:ascii="Consolas" w:cs="Consolas" w:eastAsia="Consolas" w:hAnsi="Consolas"/>
                <w:sz w:val="16"/>
                <w:szCs w:val="16"/>
              </w:rPr>
              <w:t xml:space="preserve">ASSUMP-16</w:t>
            </w:r>
            <w:r>
              <w:rPr>
                <w:rFonts w:ascii="Calibri" w:cs="Calibri" w:eastAsia="Calibri" w:hAnsi="Calibri"/>
                <w:sz w:val="18"/>
                <w:szCs w:val="18"/>
              </w:rPr>
              <w:t xml:space="preserve">, </w:t>
            </w:r>
            <w:r>
              <w:rPr>
                <w:rFonts w:ascii="Consolas" w:cs="Consolas" w:eastAsia="Consolas" w:hAnsi="Consolas"/>
                <w:sz w:val="16"/>
                <w:szCs w:val="16"/>
              </w:rPr>
              <w:t xml:space="preserve">DEC-07</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AC-04</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AI proposes only where rules are thin</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09 §§2, 11; </w:t>
            </w:r>
            <w:r>
              <w:rPr>
                <w:rFonts w:ascii="Consolas" w:cs="Consolas" w:eastAsia="Consolas" w:hAnsi="Consolas"/>
                <w:sz w:val="16"/>
                <w:szCs w:val="16"/>
              </w:rPr>
              <w:t xml:space="preserve">REQ-013</w:t>
            </w:r>
            <w:r>
              <w:rPr>
                <w:rFonts w:ascii="Calibri" w:cs="Calibri" w:eastAsia="Calibri" w:hAnsi="Calibri"/>
                <w:sz w:val="18"/>
                <w:szCs w:val="18"/>
              </w:rPr>
              <w:t xml:space="preserve">, </w:t>
            </w:r>
            <w:r>
              <w:rPr>
                <w:rFonts w:ascii="Consolas" w:cs="Consolas" w:eastAsia="Consolas" w:hAnsi="Consolas"/>
                <w:sz w:val="16"/>
                <w:szCs w:val="16"/>
              </w:rPr>
              <w:t xml:space="preserve">DEC-05</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AC-05</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Variance triggers never hard coded</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10 §5; </w:t>
            </w:r>
            <w:r>
              <w:rPr>
                <w:rFonts w:ascii="Consolas" w:cs="Consolas" w:eastAsia="Consolas" w:hAnsi="Consolas"/>
                <w:sz w:val="16"/>
                <w:szCs w:val="16"/>
              </w:rPr>
              <w:t xml:space="preserve">REQ-010</w:t>
            </w:r>
            <w:r>
              <w:rPr>
                <w:rFonts w:ascii="Calibri" w:cs="Calibri" w:eastAsia="Calibri" w:hAnsi="Calibri"/>
                <w:sz w:val="18"/>
                <w:szCs w:val="18"/>
              </w:rPr>
              <w:t xml:space="preserve">, </w:t>
            </w:r>
            <w:r>
              <w:rPr>
                <w:rFonts w:ascii="Consolas" w:cs="Consolas" w:eastAsia="Consolas" w:hAnsi="Consolas"/>
                <w:sz w:val="16"/>
                <w:szCs w:val="16"/>
              </w:rPr>
              <w:t xml:space="preserve">REQ-031</w:t>
            </w:r>
            <w:r>
              <w:rPr>
                <w:rFonts w:ascii="Calibri" w:cs="Calibri" w:eastAsia="Calibri" w:hAnsi="Calibri"/>
                <w:sz w:val="18"/>
                <w:szCs w:val="18"/>
              </w:rPr>
              <w:t xml:space="preserve">, </w:t>
            </w:r>
            <w:r>
              <w:rPr>
                <w:rFonts w:ascii="Consolas" w:cs="Consolas" w:eastAsia="Consolas" w:hAnsi="Consolas"/>
                <w:sz w:val="16"/>
                <w:szCs w:val="16"/>
              </w:rPr>
              <w:t xml:space="preserve">ASSUMP-03</w:t>
            </w:r>
            <w:r>
              <w:rPr>
                <w:rFonts w:ascii="Calibri" w:cs="Calibri" w:eastAsia="Calibri" w:hAnsi="Calibri"/>
                <w:sz w:val="18"/>
                <w:szCs w:val="18"/>
              </w:rPr>
              <w:t xml:space="preserve">, </w:t>
            </w:r>
            <w:r>
              <w:rPr>
                <w:rFonts w:ascii="Consolas" w:cs="Consolas" w:eastAsia="Consolas" w:hAnsi="Consolas"/>
                <w:sz w:val="16"/>
                <w:szCs w:val="16"/>
              </w:rPr>
              <w:t xml:space="preserve">DEC-08</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AC-06</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Validation sample of prior-year decisions</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09 §7; </w:t>
            </w:r>
            <w:r>
              <w:rPr>
                <w:rFonts w:ascii="Consolas" w:cs="Consolas" w:eastAsia="Consolas" w:hAnsi="Consolas"/>
                <w:sz w:val="16"/>
                <w:szCs w:val="16"/>
              </w:rPr>
              <w:t xml:space="preserve">SME-04</w:t>
            </w:r>
            <w:r>
              <w:rPr>
                <w:rFonts w:ascii="Calibri" w:cs="Calibri" w:eastAsia="Calibri" w:hAnsi="Calibri"/>
                <w:sz w:val="18"/>
                <w:szCs w:val="18"/>
              </w:rPr>
              <w:t xml:space="preserve">, </w:t>
            </w:r>
            <w:r>
              <w:rPr>
                <w:rFonts w:ascii="Consolas" w:cs="Consolas" w:eastAsia="Consolas" w:hAnsi="Consolas"/>
                <w:sz w:val="16"/>
                <w:szCs w:val="16"/>
              </w:rPr>
              <w:t xml:space="preserve">SME-07</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AC-07</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Instrument incorporation</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10 §2; </w:t>
            </w:r>
            <w:r>
              <w:rPr>
                <w:rFonts w:ascii="Consolas" w:cs="Consolas" w:eastAsia="Consolas" w:hAnsi="Consolas"/>
                <w:sz w:val="16"/>
                <w:szCs w:val="16"/>
              </w:rPr>
              <w:t xml:space="preserve">SME-05</w:t>
            </w:r>
            <w:r>
              <w:rPr>
                <w:rFonts w:ascii="Calibri" w:cs="Calibri" w:eastAsia="Calibri" w:hAnsi="Calibri"/>
                <w:sz w:val="18"/>
                <w:szCs w:val="18"/>
              </w:rPr>
              <w:t xml:space="preserve">, </w:t>
            </w:r>
            <w:r>
              <w:rPr>
                <w:rFonts w:ascii="Consolas" w:cs="Consolas" w:eastAsia="Consolas" w:hAnsi="Consolas"/>
                <w:sz w:val="16"/>
                <w:szCs w:val="16"/>
              </w:rPr>
              <w:t xml:space="preserve">DEC-03</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AC-08</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PRA responses with lineage</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10 §4; </w:t>
            </w:r>
            <w:r>
              <w:rPr>
                <w:rFonts w:ascii="Consolas" w:cs="Consolas" w:eastAsia="Consolas" w:hAnsi="Consolas"/>
                <w:sz w:val="16"/>
                <w:szCs w:val="16"/>
              </w:rPr>
              <w:t xml:space="preserve">REQ-008</w:t>
            </w:r>
            <w:r>
              <w:rPr>
                <w:rFonts w:ascii="Calibri" w:cs="Calibri" w:eastAsia="Calibri" w:hAnsi="Calibri"/>
                <w:sz w:val="18"/>
                <w:szCs w:val="18"/>
              </w:rPr>
              <w:t xml:space="preserve">, </w:t>
            </w:r>
            <w:r>
              <w:rPr>
                <w:rFonts w:ascii="Consolas" w:cs="Consolas" w:eastAsia="Consolas" w:hAnsi="Consolas"/>
                <w:sz w:val="16"/>
                <w:szCs w:val="16"/>
              </w:rPr>
              <w:t xml:space="preserve">PLT-02</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AC-09</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Review, approval, sign-off</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06 §5; </w:t>
            </w:r>
            <w:r>
              <w:rPr>
                <w:rFonts w:ascii="Consolas" w:cs="Consolas" w:eastAsia="Consolas" w:hAnsi="Consolas"/>
                <w:sz w:val="16"/>
                <w:szCs w:val="16"/>
              </w:rPr>
              <w:t xml:space="preserve">ASSUMP-17</w:t>
            </w:r>
            <w:r>
              <w:rPr>
                <w:rFonts w:ascii="Calibri" w:cs="Calibri" w:eastAsia="Calibri" w:hAnsi="Calibri"/>
                <w:sz w:val="18"/>
                <w:szCs w:val="18"/>
              </w:rPr>
              <w:t xml:space="preserve">, </w:t>
            </w:r>
            <w:r>
              <w:rPr>
                <w:rFonts w:ascii="Consolas" w:cs="Consolas" w:eastAsia="Consolas" w:hAnsi="Consolas"/>
                <w:sz w:val="16"/>
                <w:szCs w:val="16"/>
              </w:rPr>
              <w:t xml:space="preserve">DEC-06</w:t>
            </w:r>
            <w:r>
              <w:rPr>
                <w:rFonts w:ascii="Calibri" w:cs="Calibri" w:eastAsia="Calibri" w:hAnsi="Calibri"/>
                <w:sz w:val="18"/>
                <w:szCs w:val="18"/>
              </w:rPr>
              <w:t xml:space="preserve">, </w:t>
            </w:r>
            <w:r>
              <w:rPr>
                <w:rFonts w:ascii="Consolas" w:cs="Consolas" w:eastAsia="Consolas" w:hAnsi="Consolas"/>
                <w:sz w:val="16"/>
                <w:szCs w:val="16"/>
              </w:rPr>
              <w:t xml:space="preserve">PLT-06</w:t>
            </w:r>
            <w:r>
              <w:rPr>
                <w:rFonts w:ascii="Calibri" w:cs="Calibri" w:eastAsia="Calibri" w:hAnsi="Calibri"/>
                <w:sz w:val="18"/>
                <w:szCs w:val="18"/>
              </w:rPr>
              <w:t xml:space="preserve">, </w:t>
            </w:r>
            <w:r>
              <w:rPr>
                <w:rFonts w:ascii="Consolas" w:cs="Consolas" w:eastAsia="Consolas" w:hAnsi="Consolas"/>
                <w:sz w:val="16"/>
                <w:szCs w:val="16"/>
              </w:rPr>
              <w:t xml:space="preserve">PLT-11</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AC-10</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AI-use approvals and guardrails</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09 §11 G1/G3; </w:t>
            </w:r>
            <w:r>
              <w:rPr>
                <w:rFonts w:ascii="Consolas" w:cs="Consolas" w:eastAsia="Consolas" w:hAnsi="Consolas"/>
                <w:sz w:val="16"/>
                <w:szCs w:val="16"/>
              </w:rPr>
              <w:t xml:space="preserve">PLT-08</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AC-11</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Data support for downstream assessment</w:t>
            </w:r>
          </w:p>
        </w:tc>
        <w:tc>
          <w:tcPr>
            <w:tcW w:type="dxa" w:w="4660"/>
            <w:tcMar>
              <w:top w:type="dxa" w:w="90"/>
              <w:left w:type="dxa" w:w="120"/>
              <w:bottom w:type="dxa" w:w="90"/>
              <w:right w:type="dxa" w:w="120"/>
            </w:tcMar>
          </w:tcPr>
          <w:p>
            <w:pPr>
              <w:spacing w:after="0" w:line="252"/>
            </w:pPr>
            <w:r>
              <w:rPr>
                <w:rFonts w:ascii="Calibri" w:cs="Calibri" w:eastAsia="Calibri" w:hAnsi="Calibri"/>
                <w:sz w:val="18"/>
                <w:szCs w:val="18"/>
              </w:rPr>
              <w:t xml:space="preserve">File 10 §6; </w:t>
            </w:r>
            <w:r>
              <w:rPr>
                <w:rFonts w:ascii="Consolas" w:cs="Consolas" w:eastAsia="Consolas" w:hAnsi="Consolas"/>
                <w:sz w:val="16"/>
                <w:szCs w:val="16"/>
              </w:rPr>
              <w:t xml:space="preserve">ASSUMP-15</w:t>
            </w:r>
            <w:r>
              <w:rPr>
                <w:rFonts w:ascii="Calibri" w:cs="Calibri" w:eastAsia="Calibri" w:hAnsi="Calibri"/>
                <w:sz w:val="18"/>
                <w:szCs w:val="18"/>
              </w:rPr>
              <w:t xml:space="preserve">, </w:t>
            </w:r>
            <w:r>
              <w:rPr>
                <w:rFonts w:ascii="Consolas" w:cs="Consolas" w:eastAsia="Consolas" w:hAnsi="Consolas"/>
                <w:sz w:val="16"/>
                <w:szCs w:val="16"/>
              </w:rPr>
              <w:t xml:space="preserve">SME-14</w:t>
            </w:r>
            <w:r>
              <w:rPr>
                <w:rFonts w:ascii="Calibri" w:cs="Calibri" w:eastAsia="Calibri" w:hAnsi="Calibri"/>
                <w:sz w:val="18"/>
                <w:szCs w:val="18"/>
              </w:rPr>
              <w:t xml:space="preserve">, </w:t>
            </w:r>
            <w:r>
              <w:rPr>
                <w:rFonts w:ascii="Consolas" w:cs="Consolas" w:eastAsia="Consolas" w:hAnsi="Consolas"/>
                <w:sz w:val="16"/>
                <w:szCs w:val="16"/>
              </w:rPr>
              <w:t xml:space="preserve">PLT-12</w:t>
            </w:r>
          </w:p>
        </w:tc>
      </w:tr>
      <w:tr>
        <w:tc>
          <w:tcPr>
            <w:tcW w:type="dxa" w:w="9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AC-12</w:t>
            </w:r>
          </w:p>
        </w:tc>
        <w:tc>
          <w:tcPr>
            <w:tcW w:type="dxa" w:w="380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Methodology, briefing, go/no-go, handover</w:t>
            </w:r>
          </w:p>
        </w:tc>
        <w:tc>
          <w:tcPr>
            <w:tcW w:type="dxa" w:w="4660"/>
            <w:shd w:fill="F4F6F9" w:color="auto" w:val="clear"/>
            <w:tcMar>
              <w:top w:type="dxa" w:w="90"/>
              <w:left w:type="dxa" w:w="120"/>
              <w:bottom w:type="dxa" w:w="90"/>
              <w:right w:type="dxa" w:w="120"/>
            </w:tcMar>
          </w:tcPr>
          <w:p>
            <w:pPr>
              <w:spacing w:after="0" w:line="252"/>
            </w:pPr>
            <w:r>
              <w:rPr>
                <w:rFonts w:ascii="Calibri" w:cs="Calibri" w:eastAsia="Calibri" w:hAnsi="Calibri"/>
                <w:sz w:val="18"/>
                <w:szCs w:val="18"/>
              </w:rPr>
              <w:t xml:space="preserve">File 18 §5; Assumptions #6</w:t>
            </w:r>
          </w:p>
        </w:tc>
      </w:tr>
      <w:tr>
        <w:tc>
          <w:tcPr>
            <w:tcW w:type="dxa" w:w="900"/>
            <w:tcMar>
              <w:top w:type="dxa" w:w="90"/>
              <w:left w:type="dxa" w:w="120"/>
              <w:bottom w:type="dxa" w:w="90"/>
              <w:right w:type="dxa" w:w="120"/>
            </w:tcMar>
          </w:tcPr>
          <w:p>
            <w:pPr>
              <w:spacing w:after="0" w:line="252"/>
            </w:pPr>
            <w:r>
              <w:rPr>
                <w:rFonts w:ascii="Calibri" w:cs="Calibri" w:eastAsia="Calibri" w:hAnsi="Calibri"/>
                <w:sz w:val="18"/>
                <w:szCs w:val="18"/>
              </w:rPr>
              <w:t xml:space="preserve">AC-13</w:t>
            </w:r>
          </w:p>
        </w:tc>
        <w:tc>
          <w:tcPr>
            <w:tcW w:type="dxa" w:w="3800"/>
            <w:tcMar>
              <w:top w:type="dxa" w:w="90"/>
              <w:left w:type="dxa" w:w="120"/>
              <w:bottom w:type="dxa" w:w="90"/>
              <w:right w:type="dxa" w:w="120"/>
            </w:tcMar>
          </w:tcPr>
          <w:p>
            <w:pPr>
              <w:spacing w:after="0" w:line="252"/>
            </w:pPr>
            <w:r>
              <w:rPr>
                <w:rFonts w:ascii="Calibri" w:cs="Calibri" w:eastAsia="Calibri" w:hAnsi="Calibri"/>
                <w:sz w:val="18"/>
                <w:szCs w:val="18"/>
              </w:rPr>
              <w:t xml:space="preserve">Underpins every criterion above</w:t>
            </w:r>
          </w:p>
        </w:tc>
        <w:tc>
          <w:tcPr>
            <w:tcW w:type="dxa" w:w="4660"/>
            <w:tcMar>
              <w:top w:type="dxa" w:w="90"/>
              <w:left w:type="dxa" w:w="120"/>
              <w:bottom w:type="dxa" w:w="90"/>
              <w:right w:type="dxa" w:w="120"/>
            </w:tcMar>
          </w:tcPr>
          <w:p>
            <w:pPr>
              <w:spacing w:after="0" w:line="252"/>
            </w:pPr>
            <w:r>
              <w:rPr>
                <w:rFonts w:ascii="Consolas" w:cs="Consolas" w:eastAsia="Consolas" w:hAnsi="Consolas"/>
                <w:sz w:val="16"/>
                <w:szCs w:val="16"/>
              </w:rPr>
              <w:t xml:space="preserve">PLT-13</w:t>
            </w:r>
            <w:r>
              <w:rPr>
                <w:rFonts w:ascii="Calibri" w:cs="Calibri" w:eastAsia="Calibri" w:hAnsi="Calibri"/>
                <w:sz w:val="18"/>
                <w:szCs w:val="18"/>
              </w:rPr>
              <w:t xml:space="preserve">, </w:t>
            </w:r>
            <w:r>
              <w:rPr>
                <w:rFonts w:ascii="Consolas" w:cs="Consolas" w:eastAsia="Consolas" w:hAnsi="Consolas"/>
                <w:sz w:val="16"/>
                <w:szCs w:val="16"/>
              </w:rPr>
              <w:t xml:space="preserve">PLT-14</w:t>
            </w:r>
            <w:r>
              <w:rPr>
                <w:rFonts w:ascii="Calibri" w:cs="Calibri" w:eastAsia="Calibri" w:hAnsi="Calibri"/>
                <w:sz w:val="18"/>
                <w:szCs w:val="18"/>
              </w:rPr>
              <w:t xml:space="preserve">, </w:t>
            </w:r>
            <w:r>
              <w:rPr>
                <w:rFonts w:ascii="Consolas" w:cs="Consolas" w:eastAsia="Consolas" w:hAnsi="Consolas"/>
                <w:sz w:val="16"/>
                <w:szCs w:val="16"/>
              </w:rPr>
              <w:t xml:space="preserve">DEC-27</w:t>
            </w:r>
            <w:r>
              <w:rPr>
                <w:rFonts w:ascii="Calibri" w:cs="Calibri" w:eastAsia="Calibri" w:hAnsi="Calibri"/>
                <w:sz w:val="18"/>
                <w:szCs w:val="18"/>
              </w:rPr>
              <w:t xml:space="preserve">, </w:t>
            </w:r>
            <w:r>
              <w:rPr>
                <w:rFonts w:ascii="Consolas" w:cs="Consolas" w:eastAsia="Consolas" w:hAnsi="Consolas"/>
                <w:sz w:val="16"/>
                <w:szCs w:val="16"/>
              </w:rPr>
              <w:t xml:space="preserve">DEC-33</w:t>
            </w:r>
          </w:p>
        </w:tc>
      </w:tr>
    </w:tbl>
    <w:p>
      <w:pPr>
        <w:spacing w:after="300"/>
      </w:pPr>
      <w:r>
        <w:rPr>
          <w:sz w:val="8"/>
          <w:szCs w:val="8"/>
        </w:rPr>
        <w:t xml:space="preserve"/>
      </w:r>
    </w:p>
    <w:p>
      <w:pPr>
        <w:pBdr>
          <w:top w:val="single" w:color="BFC9D4" w:sz="4" w:space="10"/>
        </w:pBdr>
        <w:spacing w:before="200"/>
      </w:pPr>
      <w:r>
        <w:rPr>
          <w:rFonts w:ascii="Calibri" w:cs="Calibri" w:eastAsia="Calibri" w:hAnsi="Calibri"/>
          <w:i/>
          <w:iCs/>
          <w:color w:val="44546A"/>
          <w:sz w:val="17"/>
          <w:szCs w:val="17"/>
        </w:rPr>
        <w:t xml:space="preserve">Prepared by Guidehouse for FEMA Financial Systems Modernization. Figures describing the reference dataset refer to a synthetic, watermarked dataset built for development and regression testing; it contains no FEMA data.</w:t>
      </w:r>
    </w:p>
    <w:sectPr>
      <w:footerReference w:type="default" r:id="rId9"/>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120"/>
    </w:pPr>
    <w:r>
      <w:rPr>
        <w:rFonts w:ascii="Calibri" w:cs="Calibri" w:eastAsia="Calibri" w:hAnsi="Calibri"/>
        <w:i/>
        <w:iCs/>
        <w:color w:val="44546A"/>
        <w:sz w:val="16"/>
        <w:szCs w:val="16"/>
      </w:rPr>
      <w:t xml:space="preserve">DRAFT — internal review. Not yet sent to FEMA.</w:t>
    </w:r>
    <w:r>
      <w:rPr>
        <w:sz w:val="16"/>
        <w:szCs w:val="16"/>
      </w:rPr>
      <w:t xml:space="preserve">	</w:t>
    </w: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120"/>
    </w:pPr>
    <w:r>
      <w:rPr>
        <w:rFonts w:ascii="Calibri" w:cs="Calibri" w:eastAsia="Calibri" w:hAnsi="Calibri"/>
        <w:i/>
        <w:iCs/>
        <w:color w:val="44546A"/>
        <w:sz w:val="16"/>
        <w:szCs w:val="16"/>
      </w:rPr>
      <w:t xml:space="preserve">DRAFT — internal review. Not yet sent to FEMA.</w:t>
    </w:r>
    <w:r>
      <w:rPr>
        <w:sz w:val="16"/>
        <w:szCs w:val="16"/>
      </w:rPr>
      <w:t xml:space="preserve">	</w:t>
    </w: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120"/>
    </w:pPr>
    <w:r>
      <w:rPr>
        <w:rFonts w:ascii="Calibri" w:cs="Calibri" w:eastAsia="Calibri" w:hAnsi="Calibri"/>
        <w:i/>
        <w:iCs/>
        <w:color w:val="44546A"/>
        <w:sz w:val="16"/>
        <w:szCs w:val="16"/>
      </w:rPr>
      <w:t xml:space="preserve">DRAFT — internal review. Not yet sent to FEMA.</w:t>
    </w:r>
    <w:r>
      <w:rPr>
        <w:sz w:val="16"/>
        <w:szCs w:val="16"/>
      </w:rPr>
      <w:t xml:space="preserve">	</w:t>
    </w: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Acceptance Criteria — FEMA PIIA Proof of Concept</dc:title>
  <dc:creator>Guidehouse</dc:creator>
  <dc:description>Draft acceptance criteria for the PIIA proof of concept under task order 70FA3126F00000042, modification P00001.</dc:description>
  <cp:lastModifiedBy>Un-named</cp:lastModifiedBy>
  <cp:revision>1</cp:revision>
  <dcterms:created xsi:type="dcterms:W3CDTF">2026-09-17T19:11:09.680Z</dcterms:created>
  <dcterms:modified xsi:type="dcterms:W3CDTF">2026-09-17T19:11:09.680Z</dcterms:modified>
</cp:coreProperties>
</file>

<file path=docProps/custom.xml><?xml version="1.0" encoding="utf-8"?>
<Properties xmlns="http://schemas.openxmlformats.org/officeDocument/2006/custom-properties" xmlns:vt="http://schemas.openxmlformats.org/officeDocument/2006/docPropsVTypes"/>
</file>