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b/>
          <w:color w:val="1B2A4A"/>
          <w:sz w:val="26"/>
        </w:rPr>
        <w:t>DEMO INDEX CARD — FEMA Program ID &amp; PRA Automation</w:t>
      </w:r>
    </w:p>
    <w:p>
      <w:pPr>
        <w:spacing w:before="0" w:after="60" w:line="240" w:lineRule="auto"/>
      </w:pPr>
      <w:r>
        <w:rPr>
          <w:i/>
          <w:color w:val="5A626B"/>
          <w:sz w:val="17"/>
        </w:rPr>
        <w:t>Quick-glance backup · ★ = don’t rush · 30-min slot: ~5 slides / ~8 demo / rest discussion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val="clear" w:fill="FBF3E4"/>
          </w:tcPr>
          <w:p>
            <w:pPr>
              <w:spacing w:before="0" w:after="0" w:line="240" w:lineRule="auto"/>
            </w:pPr>
            <w:r>
              <w:rPr>
                <w:b/>
                <w:color w:val="B06A00"/>
                <w:sz w:val="18"/>
              </w:rPr>
              <w:t xml:space="preserve">SAY TWICE:  </w:t>
            </w:r>
            <w:r>
              <w:rPr>
                <w:color w:val="202428"/>
                <w:sz w:val="18"/>
              </w:rPr>
              <w:t>“Program names are real, public FEMA programs — every dollar is dummy data, watermarked, shaped against public funding. A representation — the art of the possible; once we have your program IDs, this is the structure we build down into.”  (No on-screen banner — disclosure is on you.)</w:t>
            </w:r>
          </w:p>
        </w:tc>
      </w:tr>
    </w:tbl>
    <w:p>
      <w:pPr>
        <w:spacing w:after="20"/>
      </w:pPr>
    </w:p>
    <w:p>
      <w:pPr>
        <w:spacing w:before="80" w:after="30" w:line="240" w:lineRule="auto"/>
      </w:pPr>
      <w:r>
        <w:rPr>
          <w:b/>
          <w:color w:val="1B2A4A"/>
          <w:sz w:val="20"/>
        </w:rPr>
        <w:t>OPEN (≈3 min, slides)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Feasibility.  </w:t>
      </w:r>
      <w:r>
        <w:rPr>
          <w:color w:val="202428"/>
          <w:sz w:val="18"/>
        </w:rPr>
        <w:t>A representation, the art of the possible — proving the automation Mike’s office asked about is doable, + lining up the questions to make it real.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Why.  </w:t>
      </w:r>
      <w:r>
        <w:rPr>
          <w:color w:val="202428"/>
          <w:sz w:val="18"/>
        </w:rPr>
        <w:t>Improper-payment testing under PIIA / OMB A-123 App C — active oversight (GAO, DHS OIG). Front door = a preliminary risk assessment per program; it needs each program’s actual spend.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Pain.  </w:t>
      </w:r>
      <w:r>
        <w:rPr>
          <w:color w:val="202428"/>
          <w:sz w:val="18"/>
        </w:rPr>
        <w:t>Spend is hand-cleansed, mapped by rules that live somewhere (you see outputs not logic), rolls up, splits by disaster — and lands weeks-to-months after year-end. Three pains: opaque mapping · manual reconciliation · late signal.</w:t>
      </w:r>
    </w:p>
    <w:p>
      <w:pPr>
        <w:spacing w:before="80" w:after="30" w:line="240" w:lineRule="auto"/>
      </w:pPr>
      <w:r>
        <w:rPr>
          <w:b/>
          <w:color w:val="1B2A4A"/>
          <w:sz w:val="20"/>
        </w:rPr>
        <w:t>WALKTHROUGH (≈8 min)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1 · Dashboard.  </w:t>
      </w:r>
      <w:r>
        <w:rPr>
          <w:color w:val="202428"/>
          <w:sz w:val="18"/>
        </w:rPr>
        <w:t>The answer that takes weeks today — total spend, which programs breach the comprehensive trigger, what’s unmapped — one view, computed live in one HTML file. Red = trigger fired on dollars OR transaction volume (your 2024 rule).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2 · Ingestion.  </w:t>
      </w:r>
      <w:r>
        <w:rPr>
          <w:color w:val="202428"/>
          <w:sz w:val="18"/>
        </w:rPr>
        <w:t>1,459 landed → 88 repaired → 23 aliases. File-in is a config contract, not code — survives the modernization. TAFS + disbursement-type columns on every record (stand-ins until real WebFMIS). DR column = disaster vs non-disaster.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1B2A4A"/>
          <w:sz w:val="18"/>
        </w:rPr>
        <w:t xml:space="preserve">3 · Mapping.  </w:t>
      </w:r>
      <w:r>
        <w:rPr>
          <w:color w:val="202428"/>
          <w:sz w:val="18"/>
        </w:rPr>
        <w:t>No SOP yet — so we inferred the rules from 4 yrs of history, scored confidence, made them editable.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B06A00"/>
          <w:sz w:val="18"/>
        </w:rPr>
        <w:t xml:space="preserve">   Follow-the-dollar.  </w:t>
      </w:r>
      <w:r>
        <w:rPr>
          <w:color w:val="202428"/>
          <w:sz w:val="18"/>
        </w:rPr>
        <w:t>Legacy-alias chip → 5 stations light up: raw → cleansed → mapped → rolled up to Public Assistance → PRA lines. Invisible inside FEMA today; here it’s a click, every hop cites its rule.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   Flow map.  </w:t>
      </w:r>
      <w:r>
        <w:rPr>
          <w:color w:val="202428"/>
          <w:sz w:val="18"/>
        </w:rPr>
        <w:t>PA’s sub-groupings ARE the disaster numbers (Harvey/Irma/Maria). Switch to IA → IHP, Mass Care, DCM rolling up to one program — your words as a picture.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B06A00"/>
          <w:sz w:val="18"/>
        </w:rPr>
        <w:t xml:space="preserve">   ★ HOLDOUT REVEAL.  </w:t>
      </w:r>
      <w:r>
        <w:rPr>
          <w:color w:val="202428"/>
          <w:sz w:val="18"/>
        </w:rPr>
        <w:t>Left: 204 assignments FY22–25. Right: 57 FY26 codes sealed. Run inference → 47 clear 0.85, 10 to review. “You said 99% of the time these group together — let’s grade it.” Reveal → 47/47 match the mapping it never saw, 0 incorrect. Where it wasn’t sure, it didn’t guess.</w:t>
      </w:r>
    </w:p>
    <w:p>
      <w:pPr>
        <w:spacing w:before="0" w:after="30" w:line="240" w:lineRule="auto"/>
      </w:pPr>
      <w:r>
        <w:rPr>
          <w:b/>
          <w:color w:val="A42A2A"/>
          <w:sz w:val="18"/>
        </w:rPr>
        <w:t xml:space="preserve">   Honesty beat.  </w:t>
      </w:r>
      <w:r>
        <w:rPr>
          <w:color w:val="202428"/>
          <w:sz w:val="18"/>
        </w:rPr>
        <w:t>History here is deliberately stable so a perfect score is expected — real accuracy is what SME validation establishes. Inference &amp; scoring are separate code paths; the crawler can’t read the labels it’s graded on.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1B2A4A"/>
          <w:sz w:val="18"/>
        </w:rPr>
        <w:t xml:space="preserve">   Rule edit.  </w:t>
      </w:r>
      <w:r>
        <w:rPr>
          <w:color w:val="202428"/>
          <w:sz w:val="18"/>
        </w:rPr>
        <w:t>Change one sub-grouping → What-changed drawer enumerates txns moved, program deltas, trigger flips, PRA changes, with Revert. Rules-as-data, not tribal knowledge.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4 · Events.  </w:t>
      </w:r>
      <w:r>
        <w:rPr>
          <w:color w:val="202428"/>
          <w:sz w:val="18"/>
        </w:rPr>
        <w:t>Harvey/Irma/Maria tracked separately — real DR numbers, synthetic dollars. For PA the disaster number IS the sub-grouping. Flip to HSGP: non-disaster, no split.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5 · Aggregation.  </w:t>
      </w:r>
      <w:r>
        <w:rPr>
          <w:color w:val="202428"/>
          <w:sz w:val="18"/>
        </w:rPr>
        <w:t>Public data = funding (obligations). Your problem = actual spend. Synthetic disbursements shaped against public envelopes — funding never presented as spend. (Say it out loud — no on-screen caption.)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1B2A4A"/>
          <w:sz w:val="18"/>
        </w:rPr>
        <w:t xml:space="preserve">6 · Trigger.  </w:t>
      </w:r>
      <w:r>
        <w:rPr>
          <w:color w:val="202428"/>
          <w:sz w:val="18"/>
        </w:rPr>
        <w:t>Team said “I think ~20%” → threshold, direction, floor AND measures are on-screen config.</w:t>
      </w:r>
    </w:p>
    <w:p>
      <w:pPr>
        <w:spacing w:before="0" w:after="30" w:line="240" w:lineRule="auto"/>
      </w:pPr>
      <w:r>
        <w:rPr>
          <w:b/>
          <w:color w:val="B06A00"/>
          <w:sz w:val="20"/>
        </w:rPr>
        <w:t xml:space="preserve">★ </w:t>
      </w:r>
      <w:r>
        <w:rPr>
          <w:b/>
          <w:color w:val="B06A00"/>
          <w:sz w:val="18"/>
        </w:rPr>
        <w:t xml:space="preserve">   ★ Count-only catch.  </w:t>
      </w:r>
      <w:r>
        <w:rPr>
          <w:color w:val="202428"/>
          <w:sz w:val="18"/>
        </w:rPr>
        <w:t>IA amber ⚑: dollars +8% (inside corridor) but payments +37.5%. 2024 rule watches volume too — old dollar-only rule misses it, yours catches it. Untick volume → un-flags. Slider 20→35→10; “increase only” un-flags the −31% program (Mike’s decrease concern = why either-direction is default).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7 · PRA answers.  </w:t>
      </w:r>
      <w:r>
        <w:rPr>
          <w:color w:val="202428"/>
          <w:sz w:val="18"/>
        </w:rPr>
        <w:t>8 of 10 auto-fill from data you hold; 2 to the program office. Read-only evidence view — input is next screen. A program STARTS with a preliminary or is already known comprehensive — starting point, not a verdict. Illustrative form until we get yours.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8 · Review.  </w:t>
      </w:r>
      <w:r>
        <w:rPr>
          <w:color w:val="202428"/>
          <w:sz w:val="18"/>
        </w:rPr>
        <w:t>The only place decisions happen. Override needs a value AND a reason (refuses without). Auto-populated ≠ auto-accepted; can’t finalize until all 10 signed off; every override in the audit trail.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9 · Assumptions.  </w:t>
      </w:r>
      <w:r>
        <w:rPr>
          <w:color w:val="202428"/>
          <w:sz w:val="18"/>
        </w:rPr>
        <w:t>Parity check: 260 recomputed values match. We documented every assumption instead of guessing — register + SME questions (blocking: trigger rule, extract, real 10 questions, spend definition; new: WebFMIS fields, 2024 count rule, fuller list).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10 · Export.  </w:t>
      </w:r>
      <w:r>
        <w:rPr>
          <w:color w:val="202428"/>
          <w:sz w:val="18"/>
        </w:rPr>
        <w:t>Excel-compatible, auditable logic underneath; headline shows both measures. Generated by the browser — no server anywhere.</w:t>
      </w:r>
    </w:p>
    <w:p>
      <w:pPr>
        <w:spacing w:before="80" w:after="30" w:line="240" w:lineRule="auto"/>
      </w:pPr>
      <w:r>
        <w:rPr>
          <w:b/>
          <w:color w:val="1B2A4A"/>
          <w:sz w:val="20"/>
        </w:rPr>
        <w:t>CLOSE (≈2 min)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AI.  </w:t>
      </w:r>
      <w:r>
        <w:rPr>
          <w:color w:val="202428"/>
          <w:sz w:val="18"/>
        </w:rPr>
        <w:t>Deliberately on the edges. Auditable numbers = plain deterministic code. AI proposes rules, explains, scores confidence — never invents a number, nothing finalizes without a person.</w:t>
      </w:r>
    </w:p>
    <w:p>
      <w:pPr>
        <w:spacing w:before="0" w:after="30" w:line="240" w:lineRule="auto"/>
      </w:pPr>
      <w:r>
        <w:rPr>
          <w:b/>
          <w:color w:val="A42A2A"/>
          <w:sz w:val="18"/>
        </w:rPr>
        <w:t xml:space="preserve">Not plug-and-play.  </w:t>
      </w:r>
      <w:r>
        <w:rPr>
          <w:color w:val="202428"/>
          <w:sz w:val="18"/>
        </w:rPr>
        <w:t>The real lift: financial-system access + real extract; SOPs/job aids/desk guides; governance; OCIO cloud + cost-sharing (year-plus elsewhere). System of record modernizes ~Oct 1 — some build waits for it. That’s why it’s file-in/file-out.</w:t>
      </w:r>
    </w:p>
    <w:p>
      <w:pPr>
        <w:spacing w:before="0" w:after="30" w:line="240" w:lineRule="auto"/>
      </w:pPr>
      <w:r>
        <w:rPr>
          <w:b/>
          <w:color w:val="1B2A4A"/>
          <w:sz w:val="18"/>
        </w:rPr>
        <w:t xml:space="preserve">Two asks.  </w:t>
      </w:r>
      <w:r>
        <w:rPr>
          <w:color w:val="202428"/>
          <w:sz w:val="18"/>
        </w:rPr>
        <w:t>(1) Blocking Qs — exact trigger rule incl. 2024 volume change, extract layout incl. fund symbol + disbursement type, real 10 questions, spend definition. (2) Chase the SOP + confirm the fuller program list. Then we scope a pilot.</w:t>
      </w:r>
    </w:p>
    <w:p>
      <w:pPr>
        <w:spacing w:before="0" w:after="30" w:line="240" w:lineRule="auto"/>
      </w:pPr>
      <w:r>
        <w:rPr>
          <w:b/>
          <w:color w:val="B06A00"/>
          <w:sz w:val="18"/>
        </w:rPr>
        <w:t xml:space="preserve">Land on.  </w:t>
      </w:r>
      <w:r>
        <w:rPr>
          <w:color w:val="202428"/>
          <w:sz w:val="18"/>
        </w:rPr>
        <w:t>Feasible today · validated with you · production scoped separately.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4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