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Times New Roman" w:hAnsi="Times New Roman" w:cs="Times New Roman" w:eastAsia="Times New Roman"/>
          <w:b w:val="0"/>
          <w:i w:val="0"/>
          <w:sz w:val="28"/>
        </w:rPr>
        <w:t>Department of Homeland Security (DHS)</w:t>
      </w:r>
    </w:p>
    <w:p>
      <w:pPr>
        <w:spacing w:before="0" w:after="0"/>
      </w:pPr>
      <w:r>
        <w:rPr>
          <w:rFonts w:ascii="Times New Roman" w:hAnsi="Times New Roman" w:cs="Times New Roman" w:eastAsia="Times New Roman"/>
          <w:b w:val="0"/>
          <w:i w:val="0"/>
          <w:sz w:val="28"/>
        </w:rPr>
        <w:t>Immigration and Customs Enforcement (ICE)</w:t>
      </w:r>
    </w:p>
    <w:p>
      <w:pPr>
        <w:spacing w:before="0" w:after="0"/>
      </w:pPr>
      <w:r>
        <w:rPr>
          <w:rFonts w:ascii="Times New Roman" w:hAnsi="Times New Roman" w:cs="Times New Roman" w:eastAsia="Times New Roman"/>
          <w:b w:val="0"/>
          <w:i w:val="0"/>
          <w:sz w:val="28"/>
        </w:rPr>
        <w:t>Office of the Chief Financial Officer (OCFO)</w:t>
      </w:r>
    </w:p>
    <w:p>
      <w:pPr>
        <w:spacing w:before="840" w:after="0"/>
      </w:pPr>
      <w:r>
        <w:rPr>
          <w:rFonts w:ascii="Times New Roman" w:hAnsi="Times New Roman" w:cs="Times New Roman" w:eastAsia="Times New Roman"/>
          <w:b/>
          <w:i w:val="0"/>
          <w:sz w:val="48"/>
        </w:rPr>
        <w:t>ICE Agentic Accounts Payable</w:t>
      </w:r>
    </w:p>
    <w:p>
      <w:pPr>
        <w:spacing w:before="0" w:after="0"/>
      </w:pPr>
      <w:r>
        <w:rPr>
          <w:rFonts w:ascii="Times New Roman" w:hAnsi="Times New Roman" w:cs="Times New Roman" w:eastAsia="Times New Roman"/>
          <w:b/>
          <w:i w:val="0"/>
          <w:sz w:val="48"/>
        </w:rPr>
        <w:t>Invoice Intake Automation</w:t>
      </w:r>
    </w:p>
    <w:p>
      <w:pPr>
        <w:spacing w:before="1040" w:after="0"/>
      </w:pPr>
      <w:r>
        <w:rPr>
          <w:rFonts w:ascii="Times New Roman" w:hAnsi="Times New Roman" w:cs="Times New Roman" w:eastAsia="Times New Roman"/>
          <w:b w:val="0"/>
          <w:i w:val="0"/>
          <w:sz w:val="28"/>
        </w:rPr>
        <w:t>Discussion Document</w:t>
      </w:r>
    </w:p>
    <w:p>
      <w:pPr>
        <w:spacing w:before="240" w:after="0"/>
      </w:pPr>
      <w:r>
        <w:rPr>
          <w:rFonts w:ascii="Times New Roman" w:hAnsi="Times New Roman" w:cs="Times New Roman" w:eastAsia="Times New Roman"/>
          <w:b w:val="0"/>
          <w:i w:val="0"/>
          <w:sz w:val="28"/>
        </w:rPr>
        <w:t>October 2026</w:t>
      </w:r>
    </w:p>
    <w:p>
      <w:pPr>
        <w:keepNext/>
        <w:spacing w:before="800" w:after="0"/>
      </w:pPr>
      <w:r>
        <w:rPr>
          <w:rFonts w:ascii="Times New Roman" w:hAnsi="Times New Roman" w:cs="Times New Roman" w:eastAsia="Times New Roman"/>
          <w:b/>
          <w:i w:val="0"/>
          <w:sz w:val="22"/>
        </w:rPr>
        <w:t>Provided by:</w:t>
      </w:r>
    </w:p>
    <w:p>
      <w:pPr>
        <w:keepNext/>
        <w:spacing w:before="0" w:after="0"/>
      </w:pPr>
      <w:r>
        <w:rPr>
          <w:rFonts w:ascii="Times New Roman" w:hAnsi="Times New Roman" w:cs="Times New Roman" w:eastAsia="Times New Roman"/>
          <w:b/>
          <w:i w:val="0"/>
          <w:sz w:val="22"/>
        </w:rPr>
        <w:t>Guidehouse Inc.</w:t>
      </w:r>
    </w:p>
    <w:p>
      <w:pPr>
        <w:keepNext/>
        <w:spacing w:before="0" w:after="0"/>
      </w:pPr>
      <w:r>
        <w:rPr>
          <w:rFonts w:ascii="Times New Roman" w:hAnsi="Times New Roman" w:cs="Times New Roman" w:eastAsia="Times New Roman"/>
          <w:b w:val="0"/>
          <w:i w:val="0"/>
          <w:sz w:val="22"/>
        </w:rPr>
        <w:t>Melanie Geesaman, Partner</w:t>
      </w:r>
    </w:p>
    <w:p>
      <w:pPr>
        <w:keepNext/>
        <w:spacing w:before="0" w:after="0"/>
      </w:pPr>
      <w:r>
        <w:rPr>
          <w:rFonts w:ascii="Times New Roman" w:hAnsi="Times New Roman" w:cs="Times New Roman" w:eastAsia="Times New Roman"/>
          <w:b w:val="0"/>
          <w:i w:val="0"/>
          <w:sz w:val="22"/>
        </w:rPr>
        <w:t>1676 International Drive, Suite 800</w:t>
      </w:r>
    </w:p>
    <w:p>
      <w:pPr>
        <w:keepNext/>
        <w:spacing w:before="0" w:after="0"/>
      </w:pPr>
      <w:r>
        <w:rPr>
          <w:rFonts w:ascii="Times New Roman" w:hAnsi="Times New Roman" w:cs="Times New Roman" w:eastAsia="Times New Roman"/>
          <w:b w:val="0"/>
          <w:i w:val="0"/>
          <w:sz w:val="22"/>
        </w:rPr>
        <w:t>McLean, VA 22102</w:t>
      </w:r>
    </w:p>
    <w:p>
      <w:pPr>
        <w:keepNext/>
        <w:spacing w:before="0" w:after="0"/>
      </w:pPr>
      <w:r>
        <w:rPr>
          <w:rFonts w:ascii="Times New Roman" w:hAnsi="Times New Roman" w:cs="Times New Roman" w:eastAsia="Times New Roman"/>
          <w:b w:val="0"/>
          <w:i w:val="0"/>
          <w:sz w:val="22"/>
        </w:rPr>
        <w:t>Tel: (703) 915-9177</w:t>
      </w:r>
    </w:p>
    <w:p>
      <w:pPr>
        <w:keepNext/>
        <w:spacing w:before="0" w:after="0"/>
      </w:pPr>
      <w:r>
        <w:rPr>
          <w:rFonts w:ascii="Times New Roman" w:hAnsi="Times New Roman" w:cs="Times New Roman" w:eastAsia="Times New Roman"/>
          <w:b w:val="0"/>
          <w:i w:val="0"/>
          <w:sz w:val="22"/>
        </w:rPr>
        <w:t>Email: mgeesaman@guidehousefederal.com</w:t>
      </w:r>
    </w:p>
    <w:p>
      <w:pPr>
        <w:keepNext w:val="0"/>
        <w:spacing w:before="0" w:after="120"/>
      </w:pPr>
      <w:r>
        <w:rPr>
          <w:rFonts w:ascii="Times New Roman" w:hAnsi="Times New Roman" w:cs="Times New Roman" w:eastAsia="Times New Roman"/>
          <w:b w:val="0"/>
          <w:i w:val="0"/>
          <w:sz w:val="22"/>
        </w:rPr>
        <w:t>Taxpayer Identification Number (TIN): 36-4094854</w:t>
      </w:r>
    </w:p>
    <w:p>
      <w:pPr>
        <w:sectPr>
          <w:headerReference w:type="default" r:id="rId9"/>
          <w:footerReference w:type="default" r:id="rId10"/>
          <w:pgSz w:w="12240" w:h="15840"/>
          <w:pgMar w:top="4378" w:right="1440" w:bottom="2160" w:left="3312" w:header="288" w:footer="1217" w:gutter="0"/>
          <w:cols w:space="720"/>
          <w:docGrid w:linePitch="360"/>
        </w:sectPr>
      </w:pPr>
    </w:p>
    <w:p>
      <w:pPr>
        <w:pStyle w:val="Heading1"/>
      </w:pPr>
      <w:r>
        <w:rPr>
          <w:rFonts w:ascii="Times New Roman" w:hAnsi="Times New Roman" w:cs="Times New Roman" w:eastAsia="Times New Roman"/>
          <w:b/>
          <w:i w:val="0"/>
          <w:sz w:val="32"/>
        </w:rPr>
        <w:t>1.0</w:t>
        <w:tab/>
        <w:t>Our Understanding</w:t>
      </w:r>
    </w:p>
    <w:p>
      <w:pPr>
        <w:keepNext w:val="0"/>
        <w:spacing w:after="120"/>
      </w:pPr>
      <w:r>
        <w:rPr>
          <w:rFonts w:ascii="Times New Roman" w:hAnsi="Times New Roman" w:cs="Times New Roman" w:eastAsia="Times New Roman"/>
          <w:b w:val="0"/>
          <w:i w:val="0"/>
          <w:sz w:val="24"/>
        </w:rPr>
        <w:t>The ICE Office of the Chief Financial Officer (OCFO) manages the agency’s financial operations, and its Office of Financial Management (OFM) pays the vendors who support ICE’s mission. OFM’s accounts payable (AP) process begins in a shared mailbox. Vendors email their invoices, usually as PDF attachments; AP technicians read each one for the elements of a proper invoice and create a record in FileOnQ, OFM’s invoice repository and workflow tool, by entering the required fields and attaching the PDF. Records then pass through quality checks before FileOnQ routes them for receiving, acceptance, certification and payment.</w:t>
      </w:r>
    </w:p>
    <w:p>
      <w:pPr>
        <w:keepNext w:val="0"/>
        <w:spacing w:after="120"/>
      </w:pPr>
      <w:r>
        <w:rPr>
          <w:rFonts w:ascii="Times New Roman" w:hAnsi="Times New Roman" w:cs="Times New Roman" w:eastAsia="Times New Roman"/>
          <w:b w:val="0"/>
          <w:i w:val="0"/>
          <w:sz w:val="24"/>
        </w:rPr>
        <w:t>On October 5, 2026, OCFO leadership and the OFM team described the mailbox review and FileOnQ record creation as the largest bottleneck in accounts payable. Every vendor presents its invoice differently, so earlier attempts at automation struggled, and technicians re-key the same information by hand. OCFO asked Guidehouse what would be built, how long it would take, what team it needs, and what it would cost, so that OCFO can plan the funding.</w:t>
      </w:r>
    </w:p>
    <w:p>
      <w:pPr>
        <w:keepNext w:val="0"/>
        <w:spacing w:after="120"/>
      </w:pPr>
      <w:r>
        <w:rPr>
          <w:rFonts w:ascii="Times New Roman" w:hAnsi="Times New Roman" w:cs="Times New Roman" w:eastAsia="Times New Roman"/>
          <w:b w:val="0"/>
          <w:i w:val="0"/>
          <w:sz w:val="24"/>
        </w:rPr>
        <w:t>The objective is an agentic intake capability that automates invoice intake: it reads the invoices that arrive in the shared mailbox, extracts and checks the required data, and gives a technician a ready-to-approve record that, on approval, becomes a FileOnQ record with the PDF attached. It is agentic in that it carries out each intake step itself, from reading the email to drafting the record, while a technician approves every record. It expedites the current process rather than replacing it: FileOnQ, field approval, certification and payment are unchanged, and ICE adopts nothing new beyond a review screen for its technicians. The scope is AP invoice intake only.</w:t>
      </w:r>
    </w:p>
    <w:p>
      <w:pPr>
        <w:pStyle w:val="Heading1"/>
      </w:pPr>
      <w:r>
        <w:rPr>
          <w:rFonts w:ascii="Times New Roman" w:hAnsi="Times New Roman" w:cs="Times New Roman" w:eastAsia="Times New Roman"/>
          <w:b/>
          <w:i w:val="0"/>
          <w:sz w:val="32"/>
        </w:rPr>
        <w:t>2.0</w:t>
        <w:tab/>
        <w:t>Our Approach</w:t>
      </w:r>
    </w:p>
    <w:p>
      <w:pPr>
        <w:keepNext w:val="0"/>
        <w:spacing w:after="120"/>
      </w:pPr>
      <w:r>
        <w:rPr>
          <w:rFonts w:ascii="Times New Roman" w:hAnsi="Times New Roman" w:cs="Times New Roman" w:eastAsia="Times New Roman"/>
          <w:b w:val="0"/>
          <w:i w:val="0"/>
          <w:sz w:val="24"/>
        </w:rPr>
        <w:t>Guidehouse proposes a staged approach with a decision point before any work touches live invoices. Three task areas take the effort from discovery through a working prototype to a measured evaluation with OFM technicians. Two optional task areas follow, each decided by OCFO on the results of the one before: a pilot on live invoices, then production and rollout with change management and training. Each task area ends with a gate review at which the plan, assumptions and estimate are updated. With OCFO’s agreement, each task order also requests the approvals and access the next one would need, so they are in progress before OCFO decides.</w:t>
      </w:r>
    </w:p>
    <w:p>
      <w:pPr>
        <w:keepNext w:val="0"/>
        <w:spacing w:after="120"/>
      </w:pPr>
      <w:r>
        <w:rPr>
          <w:rFonts w:ascii="Times New Roman" w:hAnsi="Times New Roman" w:cs="Times New Roman" w:eastAsia="Times New Roman"/>
          <w:b w:val="0"/>
          <w:i w:val="0"/>
          <w:sz w:val="24"/>
        </w:rPr>
        <w:t>The prototype is built on synthetic invoices from fictional vendors, with no connection to any ICE system and no personal or financial data. It runs on ICE’s existing Databricks environment, confirmed with the Office of the Chief Information Officer (OCIO) in discovery, with ICE’s Azure environment as the alternative if OCIO cannot host OCFO’s work on Databricks or that environment cannot reach the mailbox. It is built in ICE’s environment, under that environment’s security controls and with full logging, so the pilot and production extend it rather than rebuild it. A single interface layer keeps the intake steps separate from the destination system, so that a later change to how invoices reach ICE’s financial system changes only that layer. The work extends Guidehouse’s Small Business Innovation Research (SBIR) Phase I effort, “Software Solution To Extract Key Information From Big Data” (Section 8.0): vendor invoices are a large, varied body of documents from which a fixed set of key fields must be extracted reliably, checked and handed to a person for decision.</w:t>
      </w:r>
    </w:p>
    <w:p>
      <w:pPr>
        <w:pStyle w:val="Heading2"/>
      </w:pPr>
      <w:r>
        <w:rPr>
          <w:rFonts w:ascii="Times New Roman" w:hAnsi="Times New Roman" w:cs="Times New Roman" w:eastAsia="Times New Roman"/>
          <w:b/>
          <w:i/>
          <w:sz w:val="28"/>
        </w:rPr>
        <w:t>2.1</w:t>
        <w:tab/>
      </w:r>
      <w:r>
        <w:rPr>
          <w:rFonts w:ascii="Times New Roman" w:hAnsi="Times New Roman" w:cs="Times New Roman" w:eastAsia="Times New Roman"/>
          <w:b/>
          <w:i w:val="0"/>
          <w:sz w:val="26"/>
        </w:rPr>
        <w:t>Task Area 1:</w:t>
      </w:r>
      <w:r>
        <w:rPr>
          <w:rFonts w:ascii="Times New Roman" w:hAnsi="Times New Roman" w:cs="Times New Roman" w:eastAsia="Times New Roman"/>
          <w:b/>
          <w:i/>
          <w:sz w:val="28"/>
        </w:rPr>
        <w:t xml:space="preserve"> Discovery and Design</w:t>
      </w:r>
    </w:p>
    <w:p>
      <w:pPr>
        <w:keepNext w:val="0"/>
        <w:spacing w:after="120"/>
      </w:pPr>
      <w:r>
        <w:rPr>
          <w:rFonts w:ascii="Times New Roman" w:hAnsi="Times New Roman" w:cs="Times New Roman" w:eastAsia="Times New Roman"/>
          <w:b w:val="0"/>
          <w:i w:val="0"/>
          <w:sz w:val="24"/>
        </w:rPr>
        <w:t>Discovery takes 3 to 5 weeks, with 4 weeks as the base, including time to onboard the Guidehouse team. Guidehouse walks through today’s intake process with OFM’s process owners and technicians, agrees on the proper-invoice checklist (drafted from FAR 32.905(b) if none is written down) and the reason codes technicians will use, times three to five technicians to set a baseline in minutes per invoice, and learns FileOnQ’s record fields and interface options. At kickoff, Guidehouse asks OCIO for the team’s workspace and accounts. With OCIO, it confirms the platform and approved services, provides a security and data-handling summary, and drafts the approvals a pilot would need, for OCFO to release at the gate review: the Information System Security Officer’s (ISSO) approval of a read-only connection to the AP mailbox, read access to FileOnQ to check pilot results against technicians’ records, any service not yet in use, and a privacy threshold analysis for ICE’s privacy office, since live invoices carry vendor banking and personal data. The task area ends with a discovery report, agreed success targets, an updated plan and a gate review with OCFO.</w:t>
      </w:r>
    </w:p>
    <w:p>
      <w:pPr>
        <w:pStyle w:val="Heading2"/>
      </w:pPr>
      <w:r>
        <w:rPr>
          <w:rFonts w:ascii="Times New Roman" w:hAnsi="Times New Roman" w:cs="Times New Roman" w:eastAsia="Times New Roman"/>
          <w:b/>
          <w:i/>
          <w:sz w:val="28"/>
        </w:rPr>
        <w:t>2.2</w:t>
        <w:tab/>
      </w:r>
      <w:r>
        <w:rPr>
          <w:rFonts w:ascii="Times New Roman" w:hAnsi="Times New Roman" w:cs="Times New Roman" w:eastAsia="Times New Roman"/>
          <w:b/>
          <w:i w:val="0"/>
          <w:sz w:val="26"/>
        </w:rPr>
        <w:t>Task Area 2:</w:t>
      </w:r>
      <w:r>
        <w:rPr>
          <w:rFonts w:ascii="Times New Roman" w:hAnsi="Times New Roman" w:cs="Times New Roman" w:eastAsia="Times New Roman"/>
          <w:b/>
          <w:i/>
          <w:sz w:val="28"/>
        </w:rPr>
        <w:t xml:space="preserve"> Prototype Build</w:t>
      </w:r>
    </w:p>
    <w:p>
      <w:pPr>
        <w:keepNext w:val="0"/>
        <w:spacing w:after="120"/>
      </w:pPr>
      <w:r>
        <w:rPr>
          <w:rFonts w:ascii="Times New Roman" w:hAnsi="Times New Roman" w:cs="Times New Roman" w:eastAsia="Times New Roman"/>
          <w:b w:val="0"/>
          <w:i w:val="0"/>
          <w:sz w:val="24"/>
        </w:rPr>
        <w:t>The build takes 5 to 7 weeks, with 6 weeks as the base, including a week of contingency for data access and connectivity. Guidehouse builds a synthetic test set of 8 to 12 invoice layouts and OFM’s edge cases, with known correct values, holding some layouts back to test whether the prototype can read a layout it has never seen. The intake service reads a test mailbox, separates invoices from other documents, extracts the agreed fields and records where each was found, comparing at least two extraction approaches, one of them model-based. It runs the agreed checklist, scores each field’s confidence and marks each invoice ready for review, needs attention, or likely improper. A field it could not read goes to the technician to check rather than into a rejection.</w:t>
      </w:r>
    </w:p>
    <w:p>
      <w:pPr>
        <w:keepNext w:val="0"/>
        <w:spacing w:after="120"/>
      </w:pPr>
      <w:r>
        <w:rPr>
          <w:rFonts w:ascii="Times New Roman" w:hAnsi="Times New Roman" w:cs="Times New Roman" w:eastAsia="Times New Roman"/>
          <w:b w:val="0"/>
          <w:i w:val="0"/>
          <w:sz w:val="24"/>
        </w:rPr>
        <w:t>On the review screen the technician sees the invoice beside the extracted data, then approves, corrects or rejects with a reason code. Approval produces a FileOnQ-ready record through a mock interface; rejection drafts a vendor notice for the technician to send. Every email, extraction, edit and decision is logged. The task area ends with a demonstration to OFM’s process owners on invoices not used in development.</w:t>
      </w:r>
    </w:p>
    <w:p>
      <w:pPr>
        <w:pStyle w:val="Heading2"/>
      </w:pPr>
      <w:r>
        <w:rPr>
          <w:rFonts w:ascii="Times New Roman" w:hAnsi="Times New Roman" w:cs="Times New Roman" w:eastAsia="Times New Roman"/>
          <w:b/>
          <w:i/>
          <w:sz w:val="28"/>
        </w:rPr>
        <w:t>2.3</w:t>
        <w:tab/>
      </w:r>
      <w:r>
        <w:rPr>
          <w:rFonts w:ascii="Times New Roman" w:hAnsi="Times New Roman" w:cs="Times New Roman" w:eastAsia="Times New Roman"/>
          <w:b/>
          <w:i w:val="0"/>
          <w:sz w:val="26"/>
        </w:rPr>
        <w:t>Task Area 3:</w:t>
      </w:r>
      <w:r>
        <w:rPr>
          <w:rFonts w:ascii="Times New Roman" w:hAnsi="Times New Roman" w:cs="Times New Roman" w:eastAsia="Times New Roman"/>
          <w:b/>
          <w:i/>
          <w:sz w:val="28"/>
        </w:rPr>
        <w:t xml:space="preserve"> Prototype Evaluation</w:t>
      </w:r>
    </w:p>
    <w:p>
      <w:pPr>
        <w:keepNext w:val="0"/>
        <w:spacing w:after="120"/>
      </w:pPr>
      <w:r>
        <w:rPr>
          <w:rFonts w:ascii="Times New Roman" w:hAnsi="Times New Roman" w:cs="Times New Roman" w:eastAsia="Times New Roman"/>
          <w:b w:val="0"/>
          <w:i w:val="0"/>
          <w:sz w:val="24"/>
        </w:rPr>
        <w:t>The evaluation takes 2 to 4 weeks, with 3 weeks as the base. Three to five technicians work the review queue in timed sessions, giving minutes per invoice against the baseline. Guidehouse measures field accuracy on the held-out layouts, the rate at which invoices marked ready contain an error, the share reaching ready for review, and the detection of improper invoices; makes one improvement cycle from the technicians’ corrections; and delivers a metrics report with a pilot recommendation and estimate. At the gate review, OCFO decides whether to proceed to a pilot.</w:t>
      </w:r>
    </w:p>
    <w:p>
      <w:pPr>
        <w:pStyle w:val="Heading2"/>
      </w:pPr>
      <w:r>
        <w:rPr>
          <w:rFonts w:ascii="Times New Roman" w:hAnsi="Times New Roman" w:cs="Times New Roman" w:eastAsia="Times New Roman"/>
          <w:b/>
          <w:i/>
          <w:sz w:val="28"/>
        </w:rPr>
        <w:t>2.4</w:t>
        <w:tab/>
      </w:r>
      <w:r>
        <w:rPr>
          <w:rFonts w:ascii="Times New Roman" w:hAnsi="Times New Roman" w:cs="Times New Roman" w:eastAsia="Times New Roman"/>
          <w:b/>
          <w:i w:val="0"/>
          <w:sz w:val="26"/>
        </w:rPr>
        <w:t>Task Area 4:</w:t>
      </w:r>
      <w:r>
        <w:rPr>
          <w:rFonts w:ascii="Times New Roman" w:hAnsi="Times New Roman" w:cs="Times New Roman" w:eastAsia="Times New Roman"/>
          <w:b/>
          <w:i/>
          <w:sz w:val="28"/>
        </w:rPr>
        <w:t xml:space="preserve"> Pilot (Optional)</w:t>
      </w:r>
    </w:p>
    <w:p>
      <w:pPr>
        <w:keepNext w:val="0"/>
        <w:spacing w:after="120"/>
      </w:pPr>
      <w:r>
        <w:rPr>
          <w:rFonts w:ascii="Times New Roman" w:hAnsi="Times New Roman" w:cs="Times New Roman" w:eastAsia="Times New Roman"/>
          <w:b w:val="0"/>
          <w:i w:val="0"/>
          <w:sz w:val="24"/>
        </w:rPr>
        <w:t>The pilot is the minimum viable product: the prototype, improved from the evaluation, working on live invoices in ICE’s existing environment for a scope OCFO agrees at the Task Area 3 gate review, naming the invoice types, the pilot technicians and the targets to meet before production is considered. For this estimate, Guidehouse assumes a pilot group of three to five technicians, about four weeks in shadow mode, where the system works alongside technicians without replacing their work, and eight in assisted mode, where they work from the review queue. A FileOnQ integration is built if discovery found a viable interface. If OCFO released it at the Task Area 1 gate review, the mailbox connection is already in review. During the pilot, Guidehouse requests production’s approvals: the FileOnQ connection or bulk import, ICE’s change control, and the operating team. The pilot takes 8 to 16 weeks, with 12 as the base, and ends with results and a production recommendation.</w:t>
      </w:r>
    </w:p>
    <w:p>
      <w:pPr>
        <w:pStyle w:val="Heading2"/>
      </w:pPr>
      <w:r>
        <w:rPr>
          <w:rFonts w:ascii="Times New Roman" w:hAnsi="Times New Roman" w:cs="Times New Roman" w:eastAsia="Times New Roman"/>
          <w:b/>
          <w:i/>
          <w:sz w:val="28"/>
        </w:rPr>
        <w:t>2.5</w:t>
        <w:tab/>
      </w:r>
      <w:r>
        <w:rPr>
          <w:rFonts w:ascii="Times New Roman" w:hAnsi="Times New Roman" w:cs="Times New Roman" w:eastAsia="Times New Roman"/>
          <w:b/>
          <w:i w:val="0"/>
          <w:sz w:val="26"/>
        </w:rPr>
        <w:t>Task Area 5:</w:t>
      </w:r>
      <w:r>
        <w:rPr>
          <w:rFonts w:ascii="Times New Roman" w:hAnsi="Times New Roman" w:cs="Times New Roman" w:eastAsia="Times New Roman"/>
          <w:b/>
          <w:i/>
          <w:sz w:val="28"/>
        </w:rPr>
        <w:t xml:space="preserve"> Production, Change Management and Rollout (Optional)</w:t>
      </w:r>
    </w:p>
    <w:p>
      <w:pPr>
        <w:keepNext w:val="0"/>
        <w:spacing w:after="120"/>
      </w:pPr>
      <w:r>
        <w:rPr>
          <w:rFonts w:ascii="Times New Roman" w:hAnsi="Times New Roman" w:cs="Times New Roman" w:eastAsia="Times New Roman"/>
          <w:b w:val="0"/>
          <w:i w:val="0"/>
          <w:sz w:val="24"/>
        </w:rPr>
        <w:t>If OCFO approves the production recommendation, Guidehouse completes the system for daily use in 12 to 20 weeks, with 16 as the base: the FileOnQ connection (or bulk import if FileOnQ has no practical interface), the layouts and exceptions met in the pilot, and monitoring and recovery. Each release is tested, including for Section 508 accessibility, and accepted by OFM before it goes live through ICE’s change control. Change management starts at the same time: Guidehouse updates OFM’s desk procedures, prepares role-based training and job aids, and rolls out in groups, each trained before it goes live and supported afterwards. The task area ends with operation handed to the team ICE designates. Operation and maintenance after handover are not included and can be priced separately.</w:t>
      </w:r>
    </w:p>
    <w:p>
      <w:pPr>
        <w:pStyle w:val="Heading2"/>
      </w:pPr>
      <w:r>
        <w:rPr>
          <w:rFonts w:ascii="Times New Roman" w:hAnsi="Times New Roman" w:cs="Times New Roman" w:eastAsia="Times New Roman"/>
          <w:b/>
          <w:i/>
          <w:sz w:val="28"/>
        </w:rPr>
        <w:t>2.6</w:t>
        <w:tab/>
        <w:t>Out of Scope</w:t>
      </w:r>
    </w:p>
    <w:p>
      <w:pPr>
        <w:keepNext w:val="0"/>
        <w:spacing w:after="120"/>
      </w:pPr>
      <w:r>
        <w:rPr>
          <w:rFonts w:ascii="Times New Roman" w:hAnsi="Times New Roman" w:cs="Times New Roman" w:eastAsia="Times New Roman"/>
          <w:b w:val="0"/>
          <w:i w:val="0"/>
          <w:sz w:val="24"/>
        </w:rPr>
        <w:t>The prototype uses no real ICE invoice data unless OCFO approves it in writing. Processing without technician review, replacing FileOnQ, and integration with the financial system or Treasury are out of scope. Extending the capability further into the payment process, or to the components ICE serves, is a possible later option once the intake results are in.</w:t>
      </w:r>
    </w:p>
    <w:p>
      <w:pPr>
        <w:pStyle w:val="Heading1"/>
      </w:pPr>
      <w:r>
        <w:rPr>
          <w:rFonts w:ascii="Times New Roman" w:hAnsi="Times New Roman" w:cs="Times New Roman" w:eastAsia="Times New Roman"/>
          <w:b/>
          <w:i w:val="0"/>
          <w:sz w:val="32"/>
        </w:rPr>
        <w:t>3.0</w:t>
        <w:tab/>
        <w:t>Project Plan</w:t>
      </w:r>
    </w:p>
    <w:p>
      <w:pPr>
        <w:keepNext w:val="0"/>
        <w:spacing w:after="120"/>
      </w:pPr>
      <w:r>
        <w:rPr>
          <w:rFonts w:ascii="Times New Roman" w:hAnsi="Times New Roman" w:cs="Times New Roman" w:eastAsia="Times New Roman"/>
          <w:b w:val="0"/>
          <w:i w:val="0"/>
          <w:sz w:val="24"/>
        </w:rPr>
        <w:t>Task Areas 1 to 3 take 10 to 16 weeks from contract award to OCFO’s go or no-go decision on a pilot, and 13 weeks on the base schedule, which allows for onboarding and access to ICE’s environment. The optional pilot adds 8 to 16 weeks and production and rollout a further 12 to 20 weeks; each starts only when OCFO approves it, with its approvals already requested during the task order before. The critical path runs through OCIO’s confirmation of the platform and workspace access before the build starts.</w:t>
      </w:r>
    </w:p>
    <w:p>
      <w:pPr>
        <w:keepNext/>
        <w:spacing w:before="0" w:after="40"/>
        <w:jc w:val="center"/>
      </w:pPr>
      <w:r>
        <w:drawing xmlns:a="http://schemas.openxmlformats.org/drawingml/2006/main">
          <wp:inline distT="0" distB="0" distL="0" distR="0">
            <wp:extent cx="5943600" cy="1965960"/>
            <wp:effectExtent l="0" t="0" r="0" b="0"/>
            <wp:docPr id="901" name="Timeline chart 1" descr="Gantt chart of the task areas in weeks after contract award"/>
            <wp:cNvGraphicFramePr/>
            <a:graphic>
              <a:graphicData uri="http://schemas.openxmlformats.org/drawingml/2006/chart">
                <c:chart xmlns:c="http://schemas.openxmlformats.org/drawingml/2006/chart" r:id="rId13"/>
              </a:graphicData>
            </a:graphic>
          </wp:inline>
        </w:drawing>
      </w:r>
    </w:p>
    <w:p>
      <w:pPr>
        <w:spacing w:before="0" w:after="160"/>
      </w:pPr>
      <w:r>
        <w:rPr>
          <w:rFonts w:ascii="Times New Roman" w:hAnsi="Times New Roman" w:cs="Times New Roman" w:eastAsia="Times New Roman"/>
          <w:b w:val="0"/>
          <w:i/>
          <w:sz w:val="20"/>
        </w:rPr>
        <w:t>Figure 1. Base schedule. Gate reviews fall at weeks 4 and 13, and the prototype is demonstrated at week 10. Optional task areas start only when OCFO approves them; their approvals are requested during the task order before, so they are already in progress.</w:t>
      </w:r>
    </w:p>
    <w:tbl>
      <w:tblPr>
        <w:tblStyle w:val="TableGrid"/>
        <w:tblW w:type="dxa" w:w="9360"/>
        <w:jc w:val="center"/>
        <w:tblLayout w:type="fixed"/>
        <w:tblLook w:firstColumn="1" w:firstRow="1" w:lastColumn="0" w:lastRow="0" w:noHBand="0" w:noVBand="1" w:val="04A0"/>
        <w:tblCellMar>
          <w:top w:w="40" w:type="dxa"/>
          <w:left w:w="60" w:type="dxa"/>
          <w:bottom w:w="40" w:type="dxa"/>
          <w:right w:w="60" w:type="dxa"/>
        </w:tblCellMa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00"/>
        <w:gridCol w:w="7160"/>
      </w:tblGrid>
      <w:tr>
        <w:trPr>
          <w:tblHeader/>
          <w:cantSplit/>
        </w:trPr>
        <w:tc>
          <w:tcPr>
            <w:tcW w:type="dxa" w:w="2200"/>
            <w:shd w:val="clear" w:color="auto" w:fill="2F5D27"/>
          </w:tcPr>
          <w:p>
            <w:pPr>
              <w:keepNext/>
              <w:spacing w:before="0" w:after="0"/>
              <w:jc w:val="left"/>
            </w:pPr>
            <w:r>
              <w:rPr>
                <w:rFonts w:ascii="Times New Roman" w:hAnsi="Times New Roman" w:cs="Times New Roman" w:eastAsia="Times New Roman"/>
                <w:b/>
                <w:i w:val="0"/>
                <w:color w:val="FFFFFF"/>
                <w:sz w:val="20"/>
              </w:rPr>
              <w:t>Week After Award</w:t>
            </w:r>
          </w:p>
        </w:tc>
        <w:tc>
          <w:tcPr>
            <w:tcW w:type="dxa" w:w="7160"/>
            <w:shd w:val="clear" w:color="auto" w:fill="2F5D27"/>
          </w:tcPr>
          <w:p>
            <w:pPr>
              <w:keepNext/>
              <w:spacing w:before="0" w:after="0"/>
              <w:jc w:val="left"/>
            </w:pPr>
            <w:r>
              <w:rPr>
                <w:rFonts w:ascii="Times New Roman" w:hAnsi="Times New Roman" w:cs="Times New Roman" w:eastAsia="Times New Roman"/>
                <w:b/>
                <w:i w:val="0"/>
                <w:color w:val="FFFFFF"/>
                <w:sz w:val="20"/>
              </w:rPr>
              <w:t>Milestone</w:t>
            </w:r>
          </w:p>
        </w:tc>
      </w:tr>
      <w:tr>
        <w:trPr>
          <w:cantSplit/>
        </w:trPr>
        <w:tc>
          <w:tcPr>
            <w:tcW w:type="dxa" w:w="2200"/>
          </w:tcPr>
          <w:p>
            <w:pPr>
              <w:keepNext/>
              <w:spacing w:before="0" w:after="0"/>
              <w:jc w:val="left"/>
            </w:pPr>
            <w:r>
              <w:rPr>
                <w:rFonts w:ascii="Times New Roman" w:hAnsi="Times New Roman" w:cs="Times New Roman" w:eastAsia="Times New Roman"/>
                <w:b w:val="0"/>
                <w:i w:val="0"/>
                <w:sz w:val="22"/>
              </w:rPr>
              <w:t>0</w:t>
            </w:r>
          </w:p>
        </w:tc>
        <w:tc>
          <w:tcPr>
            <w:tcW w:type="dxa" w:w="7160"/>
          </w:tcPr>
          <w:p>
            <w:pPr>
              <w:keepNext/>
              <w:spacing w:before="0" w:after="0"/>
              <w:jc w:val="left"/>
            </w:pPr>
            <w:r>
              <w:rPr>
                <w:rFonts w:ascii="Times New Roman" w:hAnsi="Times New Roman" w:cs="Times New Roman" w:eastAsia="Times New Roman"/>
                <w:b w:val="0"/>
                <w:i w:val="0"/>
                <w:sz w:val="22"/>
              </w:rPr>
              <w:t>Contract award and kickoff with OFM’s process owners and OCFO sponsors</w:t>
            </w:r>
          </w:p>
        </w:tc>
      </w:tr>
      <w:tr>
        <w:trPr>
          <w:cantSplit/>
        </w:trPr>
        <w:tc>
          <w:tcPr>
            <w:tcW w:type="dxa" w:w="2200"/>
          </w:tcPr>
          <w:p>
            <w:pPr>
              <w:keepNext/>
              <w:spacing w:before="0" w:after="0"/>
              <w:jc w:val="left"/>
            </w:pPr>
            <w:r>
              <w:rPr>
                <w:rFonts w:ascii="Times New Roman" w:hAnsi="Times New Roman" w:cs="Times New Roman" w:eastAsia="Times New Roman"/>
                <w:b w:val="0"/>
                <w:i w:val="0"/>
                <w:sz w:val="22"/>
              </w:rPr>
              <w:t>Every two weeks from Week 2</w:t>
            </w:r>
          </w:p>
        </w:tc>
        <w:tc>
          <w:tcPr>
            <w:tcW w:type="dxa" w:w="7160"/>
          </w:tcPr>
          <w:p>
            <w:pPr>
              <w:keepNext/>
              <w:spacing w:before="0" w:after="0"/>
              <w:jc w:val="left"/>
            </w:pPr>
            <w:r>
              <w:rPr>
                <w:rFonts w:ascii="Times New Roman" w:hAnsi="Times New Roman" w:cs="Times New Roman" w:eastAsia="Times New Roman"/>
                <w:b w:val="0"/>
                <w:i w:val="0"/>
                <w:sz w:val="22"/>
              </w:rPr>
              <w:t>Status report to the COR and OCFO sponsors</w:t>
            </w:r>
          </w:p>
        </w:tc>
      </w:tr>
      <w:tr>
        <w:trPr>
          <w:cantSplit/>
        </w:trPr>
        <w:tc>
          <w:tcPr>
            <w:tcW w:type="dxa" w:w="2200"/>
          </w:tcPr>
          <w:p>
            <w:pPr>
              <w:keepNext/>
              <w:spacing w:before="0" w:after="0"/>
              <w:jc w:val="left"/>
            </w:pPr>
            <w:r>
              <w:rPr>
                <w:rFonts w:ascii="Times New Roman" w:hAnsi="Times New Roman" w:cs="Times New Roman" w:eastAsia="Times New Roman"/>
                <w:b w:val="0"/>
                <w:i w:val="0"/>
                <w:sz w:val="22"/>
              </w:rPr>
              <w:t>4 (range 3 to 5)</w:t>
            </w:r>
          </w:p>
        </w:tc>
        <w:tc>
          <w:tcPr>
            <w:tcW w:type="dxa" w:w="7160"/>
          </w:tcPr>
          <w:p>
            <w:pPr>
              <w:keepNext/>
              <w:spacing w:before="0" w:after="0"/>
              <w:jc w:val="left"/>
            </w:pPr>
            <w:r>
              <w:rPr>
                <w:rFonts w:ascii="Times New Roman" w:hAnsi="Times New Roman" w:cs="Times New Roman" w:eastAsia="Times New Roman"/>
                <w:b w:val="0"/>
                <w:i w:val="0"/>
                <w:sz w:val="22"/>
              </w:rPr>
              <w:t>Task Area 1 gate review: discovery report, checklist, success targets, updated plan</w:t>
            </w:r>
          </w:p>
        </w:tc>
      </w:tr>
      <w:tr>
        <w:trPr>
          <w:cantSplit/>
        </w:trPr>
        <w:tc>
          <w:tcPr>
            <w:tcW w:type="dxa" w:w="2200"/>
          </w:tcPr>
          <w:p>
            <w:pPr>
              <w:keepNext/>
              <w:spacing w:before="0" w:after="0"/>
              <w:jc w:val="left"/>
            </w:pPr>
            <w:r>
              <w:rPr>
                <w:rFonts w:ascii="Times New Roman" w:hAnsi="Times New Roman" w:cs="Times New Roman" w:eastAsia="Times New Roman"/>
                <w:b w:val="0"/>
                <w:i w:val="0"/>
                <w:sz w:val="22"/>
              </w:rPr>
              <w:t>10 (range 8 to 12)</w:t>
            </w:r>
          </w:p>
        </w:tc>
        <w:tc>
          <w:tcPr>
            <w:tcW w:type="dxa" w:w="7160"/>
          </w:tcPr>
          <w:p>
            <w:pPr>
              <w:keepNext/>
              <w:spacing w:before="0" w:after="0"/>
              <w:jc w:val="left"/>
            </w:pPr>
            <w:r>
              <w:rPr>
                <w:rFonts w:ascii="Times New Roman" w:hAnsi="Times New Roman" w:cs="Times New Roman" w:eastAsia="Times New Roman"/>
                <w:b w:val="0"/>
                <w:i w:val="0"/>
                <w:sz w:val="22"/>
              </w:rPr>
              <w:t>Working prototype demonstrated on invoices not used in development</w:t>
            </w:r>
          </w:p>
        </w:tc>
      </w:tr>
      <w:tr>
        <w:trPr>
          <w:cantSplit/>
        </w:trPr>
        <w:tc>
          <w:tcPr>
            <w:tcW w:type="dxa" w:w="2200"/>
          </w:tcPr>
          <w:p>
            <w:pPr>
              <w:keepNext/>
              <w:spacing w:before="0" w:after="0"/>
              <w:jc w:val="left"/>
            </w:pPr>
            <w:r>
              <w:rPr>
                <w:rFonts w:ascii="Times New Roman" w:hAnsi="Times New Roman" w:cs="Times New Roman" w:eastAsia="Times New Roman"/>
                <w:b w:val="0"/>
                <w:i w:val="0"/>
                <w:sz w:val="22"/>
              </w:rPr>
              <w:t>13 (range 10 to 16)</w:t>
            </w:r>
          </w:p>
        </w:tc>
        <w:tc>
          <w:tcPr>
            <w:tcW w:type="dxa" w:w="7160"/>
          </w:tcPr>
          <w:p>
            <w:pPr>
              <w:keepNext/>
              <w:spacing w:before="0" w:after="0"/>
              <w:jc w:val="left"/>
            </w:pPr>
            <w:r>
              <w:rPr>
                <w:rFonts w:ascii="Times New Roman" w:hAnsi="Times New Roman" w:cs="Times New Roman" w:eastAsia="Times New Roman"/>
                <w:b w:val="0"/>
                <w:i w:val="0"/>
                <w:sz w:val="22"/>
              </w:rPr>
              <w:t>Task Area 3 gate review: metrics report; OCFO decides whether to proceed to a pilot</w:t>
            </w:r>
          </w:p>
        </w:tc>
      </w:tr>
      <w:tr>
        <w:trPr>
          <w:cantSplit/>
        </w:trPr>
        <w:tc>
          <w:tcPr>
            <w:tcW w:type="dxa" w:w="2200"/>
          </w:tcPr>
          <w:p>
            <w:pPr>
              <w:keepNext/>
              <w:spacing w:before="0" w:after="0"/>
              <w:jc w:val="left"/>
            </w:pPr>
            <w:r>
              <w:rPr>
                <w:rFonts w:ascii="Times New Roman" w:hAnsi="Times New Roman" w:cs="Times New Roman" w:eastAsia="Times New Roman"/>
                <w:b w:val="0"/>
                <w:i w:val="0"/>
                <w:sz w:val="22"/>
              </w:rPr>
              <w:t>Pilot, if approved</w:t>
            </w:r>
          </w:p>
        </w:tc>
        <w:tc>
          <w:tcPr>
            <w:tcW w:type="dxa" w:w="7160"/>
          </w:tcPr>
          <w:p>
            <w:pPr>
              <w:keepNext/>
              <w:spacing w:before="0" w:after="0"/>
              <w:jc w:val="left"/>
            </w:pPr>
            <w:r>
              <w:rPr>
                <w:rFonts w:ascii="Times New Roman" w:hAnsi="Times New Roman" w:cs="Times New Roman" w:eastAsia="Times New Roman"/>
                <w:b w:val="0"/>
                <w:i w:val="0"/>
                <w:sz w:val="22"/>
              </w:rPr>
              <w:t>Scope agreed; mailbox connection approved by the ISSO; shadow then assisted mode; production recommendation about 12 weeks later</w:t>
            </w:r>
          </w:p>
        </w:tc>
      </w:tr>
      <w:tr>
        <w:trPr>
          <w:cantSplit/>
        </w:trPr>
        <w:tc>
          <w:tcPr>
            <w:tcW w:type="dxa" w:w="2200"/>
          </w:tcPr>
          <w:p>
            <w:pPr>
              <w:spacing w:before="0" w:after="0"/>
              <w:jc w:val="left"/>
            </w:pPr>
            <w:r>
              <w:rPr>
                <w:rFonts w:ascii="Times New Roman" w:hAnsi="Times New Roman" w:cs="Times New Roman" w:eastAsia="Times New Roman"/>
                <w:b w:val="0"/>
                <w:i w:val="0"/>
                <w:sz w:val="22"/>
              </w:rPr>
              <w:t>Production, if approved</w:t>
            </w:r>
          </w:p>
        </w:tc>
        <w:tc>
          <w:tcPr>
            <w:tcW w:type="dxa" w:w="7160"/>
          </w:tcPr>
          <w:p>
            <w:pPr>
              <w:spacing w:before="0" w:after="0"/>
              <w:jc w:val="left"/>
            </w:pPr>
            <w:r>
              <w:rPr>
                <w:rFonts w:ascii="Times New Roman" w:hAnsi="Times New Roman" w:cs="Times New Roman" w:eastAsia="Times New Roman"/>
                <w:b w:val="0"/>
                <w:i w:val="0"/>
                <w:sz w:val="22"/>
              </w:rPr>
              <w:t>Approvals requested during the pilot in place; production build and change management; rollout in trained groups; handover about 16 weeks after approval</w:t>
            </w:r>
          </w:p>
        </w:tc>
      </w:tr>
    </w:tbl>
    <w:p>
      <w:pPr>
        <w:spacing w:after="80"/>
      </w:pPr>
    </w:p>
    <w:p>
      <w:pPr>
        <w:keepNext w:val="0"/>
        <w:spacing w:after="120"/>
      </w:pPr>
      <w:r>
        <w:rPr>
          <w:rFonts w:ascii="Times New Roman" w:hAnsi="Times New Roman" w:cs="Times New Roman" w:eastAsia="Times New Roman"/>
          <w:b w:val="0"/>
          <w:i w:val="0"/>
          <w:sz w:val="24"/>
        </w:rPr>
        <w:t>OCFO’s time is small and scheduled: the process owners for a few hours a week during discovery and evaluation, three to five technicians for a few hours each, whoever administers FileOnQ, OCIO for the environment, and the sponsors for status reports and gate reviews.</w:t>
      </w:r>
    </w:p>
    <w:p>
      <w:pPr>
        <w:pStyle w:val="Heading1"/>
      </w:pPr>
      <w:r>
        <w:rPr>
          <w:rFonts w:ascii="Times New Roman" w:hAnsi="Times New Roman" w:cs="Times New Roman" w:eastAsia="Times New Roman"/>
          <w:b/>
          <w:i w:val="0"/>
          <w:sz w:val="32"/>
        </w:rPr>
        <w:t>4.0</w:t>
        <w:tab/>
        <w:t>Assumptions</w:t>
      </w:r>
    </w:p>
    <w:p>
      <w:pPr>
        <w:keepNext w:val="0"/>
        <w:spacing w:after="120"/>
      </w:pPr>
      <w:r>
        <w:rPr>
          <w:rFonts w:ascii="Times New Roman" w:hAnsi="Times New Roman" w:cs="Times New Roman" w:eastAsia="Times New Roman"/>
          <w:b w:val="0"/>
          <w:i w:val="0"/>
          <w:sz w:val="24"/>
        </w:rPr>
        <w:t>These assumptions come from the October 5 discussion. Discovery will confirm or correct each one, and Guidehouse will propose any material change in writing before acting on it.</w:t>
      </w:r>
    </w:p>
    <w:p>
      <w:pPr>
        <w:keepNext w:val="0"/>
        <w:spacing w:after="120"/>
      </w:pPr>
      <w:r>
        <w:rPr>
          <w:rFonts w:ascii="Times New Roman" w:hAnsi="Times New Roman" w:cs="Times New Roman" w:eastAsia="Times New Roman"/>
          <w:b/>
          <w:i w:val="0"/>
          <w:sz w:val="24"/>
        </w:rPr>
        <w:t xml:space="preserve">Environment and authorization. </w:t>
      </w:r>
      <w:r>
        <w:rPr>
          <w:rFonts w:ascii="Times New Roman" w:hAnsi="Times New Roman" w:cs="Times New Roman" w:eastAsia="Times New Roman"/>
          <w:b w:val="0"/>
          <w:i w:val="0"/>
          <w:sz w:val="24"/>
        </w:rPr>
        <w:t>ICE provides, through OCIO, a workspace on its existing environment with accounts for the team in time for the build. The capability is built within that existing, authorized environment and is not a new system of record, so Guidehouse assumes no new authority to operate (ATO) is needed; the ISSO still approves the workspace, any service not already in use, and the connections to the mailbox and FileOnQ. If OCIO requires a separate authorization, Guidehouse will coordinate with OCIO and the schedule may extend. If an approval requested a stage ahead is not in place when OCFO approves the next task order, work that does not depend on it starts first.</w:t>
      </w:r>
    </w:p>
    <w:p>
      <w:pPr>
        <w:keepNext w:val="0"/>
        <w:spacing w:after="120"/>
      </w:pPr>
      <w:r>
        <w:rPr>
          <w:rFonts w:ascii="Times New Roman" w:hAnsi="Times New Roman" w:cs="Times New Roman" w:eastAsia="Times New Roman"/>
          <w:b/>
          <w:i w:val="0"/>
          <w:sz w:val="24"/>
        </w:rPr>
        <w:t xml:space="preserve">Platform and services. </w:t>
      </w:r>
      <w:r>
        <w:rPr>
          <w:rFonts w:ascii="Times New Roman" w:hAnsi="Times New Roman" w:cs="Times New Roman" w:eastAsia="Times New Roman"/>
          <w:b w:val="0"/>
          <w:i w:val="0"/>
          <w:sz w:val="24"/>
        </w:rPr>
        <w:t>Guidehouse will use only services ICE has confirmed are allowed on that environment. Any licenses are held by ICE, so no license, hosting or travel costs are in this estimate.</w:t>
      </w:r>
    </w:p>
    <w:p>
      <w:pPr>
        <w:keepNext w:val="0"/>
        <w:spacing w:after="120"/>
      </w:pPr>
      <w:r>
        <w:rPr>
          <w:rFonts w:ascii="Times New Roman" w:hAnsi="Times New Roman" w:cs="Times New Roman" w:eastAsia="Times New Roman"/>
          <w:b/>
          <w:i w:val="0"/>
          <w:sz w:val="24"/>
        </w:rPr>
        <w:t xml:space="preserve">Process and data. </w:t>
      </w:r>
      <w:r>
        <w:rPr>
          <w:rFonts w:ascii="Times New Roman" w:hAnsi="Times New Roman" w:cs="Times New Roman" w:eastAsia="Times New Roman"/>
          <w:b w:val="0"/>
          <w:i w:val="0"/>
          <w:sz w:val="24"/>
        </w:rPr>
        <w:t>Most invoices arrive as PDF attachments; scanned invoices may need character recognition and may lower accuracy. If FileOnQ has no practical interface, the pilot uses bulk import or OFM’s existing automation. Success targets are set in discovery from baseline measures, not promised in advance.</w:t>
      </w:r>
    </w:p>
    <w:p>
      <w:pPr>
        <w:keepNext w:val="0"/>
        <w:spacing w:after="120"/>
      </w:pPr>
      <w:r>
        <w:rPr>
          <w:rFonts w:ascii="Times New Roman" w:hAnsi="Times New Roman" w:cs="Times New Roman" w:eastAsia="Times New Roman"/>
          <w:b/>
          <w:i w:val="0"/>
          <w:sz w:val="24"/>
        </w:rPr>
        <w:t xml:space="preserve">People. </w:t>
      </w:r>
      <w:r>
        <w:rPr>
          <w:rFonts w:ascii="Times New Roman" w:hAnsi="Times New Roman" w:cs="Times New Roman" w:eastAsia="Times New Roman"/>
          <w:b w:val="0"/>
          <w:i w:val="0"/>
          <w:sz w:val="24"/>
        </w:rPr>
        <w:t>OFM staff, OCIO and the sponsors are available as Section 3.0 describes. Guidehouse staff hold, or can promptly obtain, the background checks and access ICE requires; if onboarding takes longer than Task Area 1 allows, the schedule moves with it.</w:t>
      </w:r>
    </w:p>
    <w:p>
      <w:pPr>
        <w:keepNext w:val="0"/>
        <w:spacing w:after="120"/>
      </w:pPr>
      <w:r>
        <w:rPr>
          <w:rFonts w:ascii="Times New Roman" w:hAnsi="Times New Roman" w:cs="Times New Roman" w:eastAsia="Times New Roman"/>
          <w:b/>
          <w:i w:val="0"/>
          <w:sz w:val="24"/>
        </w:rPr>
        <w:t xml:space="preserve">Contract. </w:t>
      </w:r>
      <w:r>
        <w:rPr>
          <w:rFonts w:ascii="Times New Roman" w:hAnsi="Times New Roman" w:cs="Times New Roman" w:eastAsia="Times New Roman"/>
          <w:b w:val="0"/>
          <w:i w:val="0"/>
          <w:sz w:val="24"/>
        </w:rPr>
        <w:t>A contract is in place before discovery begins, with time and materials (T&amp;M) task orders under the contract in Section 8.0, so ICE pays only for work performed. The Section 9.0 rate card is proposed and subject to confirmation.</w:t>
      </w:r>
    </w:p>
    <w:p>
      <w:pPr>
        <w:pStyle w:val="Heading1"/>
      </w:pPr>
      <w:r>
        <w:rPr>
          <w:rFonts w:ascii="Times New Roman" w:hAnsi="Times New Roman" w:cs="Times New Roman" w:eastAsia="Times New Roman"/>
          <w:b/>
          <w:i w:val="0"/>
          <w:sz w:val="32"/>
        </w:rPr>
        <w:t>5.0</w:t>
        <w:tab/>
        <w:t>Level of Effort</w:t>
      </w:r>
    </w:p>
    <w:p>
      <w:pPr>
        <w:keepNext w:val="0"/>
        <w:spacing w:after="120"/>
      </w:pPr>
      <w:r>
        <w:rPr>
          <w:rFonts w:ascii="Times New Roman" w:hAnsi="Times New Roman" w:cs="Times New Roman" w:eastAsia="Times New Roman"/>
          <w:b w:val="0"/>
          <w:i w:val="0"/>
          <w:sz w:val="24"/>
        </w:rPr>
        <w:t>The team is small, mostly part-time, and brought on in stages as work requires. An engagement lead in the Director labor category runs the engagement and holds the gate reviews. A manager-level developer serves as solution architect: design, the interface layer, the environment work with OCIO, and the security summary and ISSO approval requests, so no separate security position is needed. A senior business analyst and AP process specialist works with OFM on the checklist, review screen and timed sessions. Two senior developers build the prototype: the AI/ML developer joins in the last week of discovery to design extraction, and the full-stack developer starts with the build. The pilot adds a half-time test and quality lead, and production adds a full-time change management and training lead.</w:t>
      </w:r>
    </w:p>
    <w:tbl>
      <w:tblPr>
        <w:tblStyle w:val="TableGrid"/>
        <w:tblW w:type="dxa" w:w="9360"/>
        <w:jc w:val="center"/>
        <w:tblLayout w:type="fixed"/>
        <w:tblLook w:firstColumn="1" w:firstRow="1" w:lastColumn="0" w:lastRow="0" w:noHBand="0" w:noVBand="1" w:val="04A0"/>
        <w:tblCellMar>
          <w:top w:w="40" w:type="dxa"/>
          <w:left w:w="60" w:type="dxa"/>
          <w:bottom w:w="40" w:type="dxa"/>
          <w:right w:w="60" w:type="dxa"/>
        </w:tblCellMa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960"/>
        <w:gridCol w:w="1000"/>
        <w:gridCol w:w="1000"/>
        <w:gridCol w:w="1000"/>
        <w:gridCol w:w="1200"/>
        <w:gridCol w:w="1000"/>
        <w:gridCol w:w="1200"/>
      </w:tblGrid>
      <w:tr>
        <w:trPr>
          <w:tblHeader/>
          <w:cantSplit/>
        </w:trPr>
        <w:tc>
          <w:tcPr>
            <w:tcW w:type="dxa" w:w="2960"/>
            <w:shd w:val="clear" w:color="auto" w:fill="2F5D27"/>
          </w:tcPr>
          <w:p>
            <w:pPr>
              <w:keepNext/>
              <w:spacing w:before="0" w:after="0"/>
              <w:jc w:val="left"/>
            </w:pPr>
            <w:r>
              <w:rPr>
                <w:rFonts w:ascii="Times New Roman" w:hAnsi="Times New Roman" w:cs="Times New Roman" w:eastAsia="Times New Roman"/>
                <w:b/>
                <w:i w:val="0"/>
                <w:color w:val="FFFFFF"/>
                <w:sz w:val="20"/>
              </w:rPr>
              <w:t>Position Description</w:t>
            </w:r>
          </w:p>
        </w:tc>
        <w:tc>
          <w:tcPr>
            <w:tcW w:type="dxa" w:w="1000"/>
            <w:shd w:val="clear" w:color="auto" w:fill="2F5D27"/>
          </w:tcPr>
          <w:p>
            <w:pPr>
              <w:keepNext/>
              <w:spacing w:before="0" w:after="0"/>
              <w:jc w:val="center"/>
            </w:pPr>
            <w:r>
              <w:rPr>
                <w:rFonts w:ascii="Times New Roman" w:hAnsi="Times New Roman" w:cs="Times New Roman" w:eastAsia="Times New Roman"/>
                <w:b/>
                <w:i w:val="0"/>
                <w:color w:val="FFFFFF"/>
                <w:sz w:val="20"/>
              </w:rPr>
              <w:t>Task Area 1 (FTE)</w:t>
            </w:r>
          </w:p>
        </w:tc>
        <w:tc>
          <w:tcPr>
            <w:tcW w:type="dxa" w:w="1000"/>
            <w:shd w:val="clear" w:color="auto" w:fill="2F5D27"/>
          </w:tcPr>
          <w:p>
            <w:pPr>
              <w:keepNext/>
              <w:spacing w:before="0" w:after="0"/>
              <w:jc w:val="center"/>
            </w:pPr>
            <w:r>
              <w:rPr>
                <w:rFonts w:ascii="Times New Roman" w:hAnsi="Times New Roman" w:cs="Times New Roman" w:eastAsia="Times New Roman"/>
                <w:b/>
                <w:i w:val="0"/>
                <w:color w:val="FFFFFF"/>
                <w:sz w:val="20"/>
              </w:rPr>
              <w:t>Task Area 2 (FTE)</w:t>
            </w:r>
          </w:p>
        </w:tc>
        <w:tc>
          <w:tcPr>
            <w:tcW w:type="dxa" w:w="1000"/>
            <w:shd w:val="clear" w:color="auto" w:fill="2F5D27"/>
          </w:tcPr>
          <w:p>
            <w:pPr>
              <w:keepNext/>
              <w:spacing w:before="0" w:after="0"/>
              <w:jc w:val="center"/>
            </w:pPr>
            <w:r>
              <w:rPr>
                <w:rFonts w:ascii="Times New Roman" w:hAnsi="Times New Roman" w:cs="Times New Roman" w:eastAsia="Times New Roman"/>
                <w:b/>
                <w:i w:val="0"/>
                <w:color w:val="FFFFFF"/>
                <w:sz w:val="20"/>
              </w:rPr>
              <w:t>Task Area 3 (FTE)</w:t>
            </w:r>
          </w:p>
        </w:tc>
        <w:tc>
          <w:tcPr>
            <w:tcW w:type="dxa" w:w="1200"/>
            <w:shd w:val="clear" w:color="auto" w:fill="2F5D27"/>
          </w:tcPr>
          <w:p>
            <w:pPr>
              <w:keepNext/>
              <w:spacing w:before="0" w:after="0"/>
              <w:jc w:val="right"/>
            </w:pPr>
            <w:r>
              <w:rPr>
                <w:rFonts w:ascii="Times New Roman" w:hAnsi="Times New Roman" w:cs="Times New Roman" w:eastAsia="Times New Roman"/>
                <w:b/>
                <w:i w:val="0"/>
                <w:color w:val="FFFFFF"/>
                <w:sz w:val="20"/>
              </w:rPr>
              <w:t>Hours, Task Areas 1 to 3</w:t>
            </w:r>
          </w:p>
        </w:tc>
        <w:tc>
          <w:tcPr>
            <w:tcW w:type="dxa" w:w="1000"/>
            <w:shd w:val="clear" w:color="auto" w:fill="2F5D27"/>
          </w:tcPr>
          <w:p>
            <w:pPr>
              <w:keepNext/>
              <w:spacing w:before="0" w:after="0"/>
              <w:jc w:val="center"/>
            </w:pPr>
            <w:r>
              <w:rPr>
                <w:rFonts w:ascii="Times New Roman" w:hAnsi="Times New Roman" w:cs="Times New Roman" w:eastAsia="Times New Roman"/>
                <w:b/>
                <w:i w:val="0"/>
                <w:color w:val="FFFFFF"/>
                <w:sz w:val="20"/>
              </w:rPr>
              <w:t>Pilot (FTE)</w:t>
            </w:r>
          </w:p>
        </w:tc>
        <w:tc>
          <w:tcPr>
            <w:tcW w:type="dxa" w:w="1200"/>
            <w:shd w:val="clear" w:color="auto" w:fill="2F5D27"/>
          </w:tcPr>
          <w:p>
            <w:pPr>
              <w:keepNext/>
              <w:spacing w:before="0" w:after="0"/>
              <w:jc w:val="center"/>
            </w:pPr>
            <w:r>
              <w:rPr>
                <w:rFonts w:ascii="Times New Roman" w:hAnsi="Times New Roman" w:cs="Times New Roman" w:eastAsia="Times New Roman"/>
                <w:b/>
                <w:i w:val="0"/>
                <w:color w:val="FFFFFF"/>
                <w:sz w:val="20"/>
              </w:rPr>
              <w:t>Production (FTE)</w:t>
            </w:r>
          </w:p>
        </w:tc>
      </w:tr>
      <w:tr>
        <w:trPr>
          <w:cantSplit/>
        </w:trPr>
        <w:tc>
          <w:tcPr>
            <w:tcW w:type="dxa" w:w="2960"/>
          </w:tcPr>
          <w:p>
            <w:pPr>
              <w:keepNext/>
              <w:spacing w:before="0" w:after="0"/>
              <w:jc w:val="left"/>
            </w:pPr>
            <w:r>
              <w:rPr>
                <w:rFonts w:ascii="Times New Roman" w:hAnsi="Times New Roman" w:cs="Times New Roman" w:eastAsia="Times New Roman"/>
                <w:b w:val="0"/>
                <w:i w:val="0"/>
                <w:sz w:val="20"/>
              </w:rPr>
              <w:t>Director (Engagement Lead)</w:t>
            </w:r>
          </w:p>
        </w:tc>
        <w:tc>
          <w:tcPr>
            <w:tcW w:type="dxa" w:w="1000"/>
          </w:tcPr>
          <w:p>
            <w:pPr>
              <w:keepNext/>
              <w:spacing w:before="0" w:after="0"/>
              <w:jc w:val="center"/>
            </w:pPr>
            <w:r>
              <w:rPr>
                <w:rFonts w:ascii="Times New Roman" w:hAnsi="Times New Roman" w:cs="Times New Roman" w:eastAsia="Times New Roman"/>
                <w:b w:val="0"/>
                <w:i w:val="0"/>
                <w:sz w:val="20"/>
              </w:rPr>
              <w:t>0.50</w:t>
            </w:r>
          </w:p>
        </w:tc>
        <w:tc>
          <w:tcPr>
            <w:tcW w:type="dxa" w:w="1000"/>
          </w:tcPr>
          <w:p>
            <w:pPr>
              <w:keepNext/>
              <w:spacing w:before="0" w:after="0"/>
              <w:jc w:val="center"/>
            </w:pPr>
            <w:r>
              <w:rPr>
                <w:rFonts w:ascii="Times New Roman" w:hAnsi="Times New Roman" w:cs="Times New Roman" w:eastAsia="Times New Roman"/>
                <w:b w:val="0"/>
                <w:i w:val="0"/>
                <w:sz w:val="20"/>
              </w:rPr>
              <w:t>0.25</w:t>
            </w:r>
          </w:p>
        </w:tc>
        <w:tc>
          <w:tcPr>
            <w:tcW w:type="dxa" w:w="1000"/>
          </w:tcPr>
          <w:p>
            <w:pPr>
              <w:keepNext/>
              <w:spacing w:before="0" w:after="0"/>
              <w:jc w:val="center"/>
            </w:pPr>
            <w:r>
              <w:rPr>
                <w:rFonts w:ascii="Times New Roman" w:hAnsi="Times New Roman" w:cs="Times New Roman" w:eastAsia="Times New Roman"/>
                <w:b w:val="0"/>
                <w:i w:val="0"/>
                <w:sz w:val="20"/>
              </w:rPr>
              <w:t>0.25</w:t>
            </w:r>
          </w:p>
        </w:tc>
        <w:tc>
          <w:tcPr>
            <w:tcW w:type="dxa" w:w="1200"/>
          </w:tcPr>
          <w:p>
            <w:pPr>
              <w:keepNext/>
              <w:spacing w:before="0" w:after="0"/>
              <w:jc w:val="right"/>
            </w:pPr>
            <w:r>
              <w:rPr>
                <w:rFonts w:ascii="Times New Roman" w:hAnsi="Times New Roman" w:cs="Times New Roman" w:eastAsia="Times New Roman"/>
                <w:b w:val="0"/>
                <w:i w:val="0"/>
                <w:sz w:val="20"/>
              </w:rPr>
              <w:t>170</w:t>
            </w:r>
          </w:p>
        </w:tc>
        <w:tc>
          <w:tcPr>
            <w:tcW w:type="dxa" w:w="1000"/>
          </w:tcPr>
          <w:p>
            <w:pPr>
              <w:keepNext/>
              <w:spacing w:before="0" w:after="0"/>
              <w:jc w:val="center"/>
            </w:pPr>
            <w:r>
              <w:rPr>
                <w:rFonts w:ascii="Times New Roman" w:hAnsi="Times New Roman" w:cs="Times New Roman" w:eastAsia="Times New Roman"/>
                <w:b w:val="0"/>
                <w:i w:val="0"/>
                <w:sz w:val="20"/>
              </w:rPr>
              <w:t>0.25</w:t>
            </w:r>
          </w:p>
        </w:tc>
        <w:tc>
          <w:tcPr>
            <w:tcW w:type="dxa" w:w="1200"/>
          </w:tcPr>
          <w:p>
            <w:pPr>
              <w:keepNext/>
              <w:spacing w:before="0" w:after="0"/>
              <w:jc w:val="center"/>
            </w:pPr>
            <w:r>
              <w:rPr>
                <w:rFonts w:ascii="Times New Roman" w:hAnsi="Times New Roman" w:cs="Times New Roman" w:eastAsia="Times New Roman"/>
                <w:b w:val="0"/>
                <w:i w:val="0"/>
                <w:sz w:val="20"/>
              </w:rPr>
              <w:t>0.25</w:t>
            </w:r>
          </w:p>
        </w:tc>
      </w:tr>
      <w:tr>
        <w:trPr>
          <w:cantSplit/>
        </w:trPr>
        <w:tc>
          <w:tcPr>
            <w:tcW w:type="dxa" w:w="2960"/>
          </w:tcPr>
          <w:p>
            <w:pPr>
              <w:keepNext/>
              <w:spacing w:before="0" w:after="0"/>
              <w:jc w:val="left"/>
            </w:pPr>
            <w:r>
              <w:rPr>
                <w:rFonts w:ascii="Times New Roman" w:hAnsi="Times New Roman" w:cs="Times New Roman" w:eastAsia="Times New Roman"/>
                <w:b w:val="0"/>
                <w:i w:val="0"/>
                <w:sz w:val="20"/>
              </w:rPr>
              <w:t>Manager - Developer (Solution Architect)</w:t>
            </w:r>
          </w:p>
        </w:tc>
        <w:tc>
          <w:tcPr>
            <w:tcW w:type="dxa" w:w="1000"/>
          </w:tcPr>
          <w:p>
            <w:pPr>
              <w:keepNext/>
              <w:spacing w:before="0" w:after="0"/>
              <w:jc w:val="center"/>
            </w:pPr>
            <w:r>
              <w:rPr>
                <w:rFonts w:ascii="Times New Roman" w:hAnsi="Times New Roman" w:cs="Times New Roman" w:eastAsia="Times New Roman"/>
                <w:b w:val="0"/>
                <w:i w:val="0"/>
                <w:sz w:val="20"/>
              </w:rPr>
              <w:t>1.00</w:t>
            </w:r>
          </w:p>
        </w:tc>
        <w:tc>
          <w:tcPr>
            <w:tcW w:type="dxa" w:w="1000"/>
          </w:tcPr>
          <w:p>
            <w:pPr>
              <w:keepNext/>
              <w:spacing w:before="0" w:after="0"/>
              <w:jc w:val="center"/>
            </w:pPr>
            <w:r>
              <w:rPr>
                <w:rFonts w:ascii="Times New Roman" w:hAnsi="Times New Roman" w:cs="Times New Roman" w:eastAsia="Times New Roman"/>
                <w:b w:val="0"/>
                <w:i w:val="0"/>
                <w:sz w:val="20"/>
              </w:rPr>
              <w:t>0.50</w:t>
            </w:r>
          </w:p>
        </w:tc>
        <w:tc>
          <w:tcPr>
            <w:tcW w:type="dxa" w:w="1000"/>
          </w:tcPr>
          <w:p>
            <w:pPr>
              <w:keepNext/>
              <w:spacing w:before="0" w:after="0"/>
              <w:jc w:val="center"/>
            </w:pPr>
            <w:r>
              <w:rPr>
                <w:rFonts w:ascii="Times New Roman" w:hAnsi="Times New Roman" w:cs="Times New Roman" w:eastAsia="Times New Roman"/>
                <w:b w:val="0"/>
                <w:i w:val="0"/>
                <w:sz w:val="20"/>
              </w:rPr>
              <w:t>0.25</w:t>
            </w:r>
          </w:p>
        </w:tc>
        <w:tc>
          <w:tcPr>
            <w:tcW w:type="dxa" w:w="1200"/>
          </w:tcPr>
          <w:p>
            <w:pPr>
              <w:keepNext/>
              <w:spacing w:before="0" w:after="0"/>
              <w:jc w:val="right"/>
            </w:pPr>
            <w:r>
              <w:rPr>
                <w:rFonts w:ascii="Times New Roman" w:hAnsi="Times New Roman" w:cs="Times New Roman" w:eastAsia="Times New Roman"/>
                <w:b w:val="0"/>
                <w:i w:val="0"/>
                <w:sz w:val="20"/>
              </w:rPr>
              <w:t>310</w:t>
            </w:r>
          </w:p>
        </w:tc>
        <w:tc>
          <w:tcPr>
            <w:tcW w:type="dxa" w:w="1000"/>
          </w:tcPr>
          <w:p>
            <w:pPr>
              <w:keepNext/>
              <w:spacing w:before="0" w:after="0"/>
              <w:jc w:val="center"/>
            </w:pPr>
            <w:r>
              <w:rPr>
                <w:rFonts w:ascii="Times New Roman" w:hAnsi="Times New Roman" w:cs="Times New Roman" w:eastAsia="Times New Roman"/>
                <w:b w:val="0"/>
                <w:i w:val="0"/>
                <w:sz w:val="20"/>
              </w:rPr>
              <w:t>0.75</w:t>
            </w:r>
          </w:p>
        </w:tc>
        <w:tc>
          <w:tcPr>
            <w:tcW w:type="dxa" w:w="1200"/>
          </w:tcPr>
          <w:p>
            <w:pPr>
              <w:keepNext/>
              <w:spacing w:before="0" w:after="0"/>
              <w:jc w:val="center"/>
            </w:pPr>
            <w:r>
              <w:rPr>
                <w:rFonts w:ascii="Times New Roman" w:hAnsi="Times New Roman" w:cs="Times New Roman" w:eastAsia="Times New Roman"/>
                <w:b w:val="0"/>
                <w:i w:val="0"/>
                <w:sz w:val="20"/>
              </w:rPr>
              <w:t>0.50</w:t>
            </w:r>
          </w:p>
        </w:tc>
      </w:tr>
      <w:tr>
        <w:trPr>
          <w:cantSplit/>
        </w:trPr>
        <w:tc>
          <w:tcPr>
            <w:tcW w:type="dxa" w:w="2960"/>
          </w:tcPr>
          <w:p>
            <w:pPr>
              <w:keepNext/>
              <w:spacing w:before="0" w:after="0"/>
              <w:jc w:val="left"/>
            </w:pPr>
            <w:r>
              <w:rPr>
                <w:rFonts w:ascii="Times New Roman" w:hAnsi="Times New Roman" w:cs="Times New Roman" w:eastAsia="Times New Roman"/>
                <w:b w:val="0"/>
                <w:i w:val="0"/>
                <w:sz w:val="20"/>
              </w:rPr>
              <w:t>Senior (Business Analyst and AP Process Specialist)</w:t>
            </w:r>
          </w:p>
        </w:tc>
        <w:tc>
          <w:tcPr>
            <w:tcW w:type="dxa" w:w="1000"/>
          </w:tcPr>
          <w:p>
            <w:pPr>
              <w:keepNext/>
              <w:spacing w:before="0" w:after="0"/>
              <w:jc w:val="center"/>
            </w:pPr>
            <w:r>
              <w:rPr>
                <w:rFonts w:ascii="Times New Roman" w:hAnsi="Times New Roman" w:cs="Times New Roman" w:eastAsia="Times New Roman"/>
                <w:b w:val="0"/>
                <w:i w:val="0"/>
                <w:sz w:val="20"/>
              </w:rPr>
              <w:t>1.00</w:t>
            </w:r>
          </w:p>
        </w:tc>
        <w:tc>
          <w:tcPr>
            <w:tcW w:type="dxa" w:w="1000"/>
          </w:tcPr>
          <w:p>
            <w:pPr>
              <w:keepNext/>
              <w:spacing w:before="0" w:after="0"/>
              <w:jc w:val="center"/>
            </w:pPr>
            <w:r>
              <w:rPr>
                <w:rFonts w:ascii="Times New Roman" w:hAnsi="Times New Roman" w:cs="Times New Roman" w:eastAsia="Times New Roman"/>
                <w:b w:val="0"/>
                <w:i w:val="0"/>
                <w:sz w:val="20"/>
              </w:rPr>
              <w:t>0.75</w:t>
            </w:r>
          </w:p>
        </w:tc>
        <w:tc>
          <w:tcPr>
            <w:tcW w:type="dxa" w:w="1000"/>
          </w:tcPr>
          <w:p>
            <w:pPr>
              <w:keepNext/>
              <w:spacing w:before="0" w:after="0"/>
              <w:jc w:val="center"/>
            </w:pPr>
            <w:r>
              <w:rPr>
                <w:rFonts w:ascii="Times New Roman" w:hAnsi="Times New Roman" w:cs="Times New Roman" w:eastAsia="Times New Roman"/>
                <w:b w:val="0"/>
                <w:i w:val="0"/>
                <w:sz w:val="20"/>
              </w:rPr>
              <w:t>1.00</w:t>
            </w:r>
          </w:p>
        </w:tc>
        <w:tc>
          <w:tcPr>
            <w:tcW w:type="dxa" w:w="1200"/>
          </w:tcPr>
          <w:p>
            <w:pPr>
              <w:keepNext/>
              <w:spacing w:before="0" w:after="0"/>
              <w:jc w:val="right"/>
            </w:pPr>
            <w:r>
              <w:rPr>
                <w:rFonts w:ascii="Times New Roman" w:hAnsi="Times New Roman" w:cs="Times New Roman" w:eastAsia="Times New Roman"/>
                <w:b w:val="0"/>
                <w:i w:val="0"/>
                <w:sz w:val="20"/>
              </w:rPr>
              <w:t>460</w:t>
            </w:r>
          </w:p>
        </w:tc>
        <w:tc>
          <w:tcPr>
            <w:tcW w:type="dxa" w:w="1000"/>
          </w:tcPr>
          <w:p>
            <w:pPr>
              <w:keepNext/>
              <w:spacing w:before="0" w:after="0"/>
              <w:jc w:val="center"/>
            </w:pPr>
            <w:r>
              <w:rPr>
                <w:rFonts w:ascii="Times New Roman" w:hAnsi="Times New Roman" w:cs="Times New Roman" w:eastAsia="Times New Roman"/>
                <w:b w:val="0"/>
                <w:i w:val="0"/>
                <w:sz w:val="20"/>
              </w:rPr>
              <w:t>0.50</w:t>
            </w:r>
          </w:p>
        </w:tc>
        <w:tc>
          <w:tcPr>
            <w:tcW w:type="dxa" w:w="1200"/>
          </w:tcPr>
          <w:p>
            <w:pPr>
              <w:keepNext/>
              <w:spacing w:before="0" w:after="0"/>
              <w:jc w:val="center"/>
            </w:pPr>
            <w:r>
              <w:rPr>
                <w:rFonts w:ascii="Times New Roman" w:hAnsi="Times New Roman" w:cs="Times New Roman" w:eastAsia="Times New Roman"/>
                <w:b w:val="0"/>
                <w:i w:val="0"/>
                <w:sz w:val="20"/>
              </w:rPr>
              <w:t>0.50</w:t>
            </w:r>
          </w:p>
        </w:tc>
      </w:tr>
      <w:tr>
        <w:trPr>
          <w:cantSplit/>
        </w:trPr>
        <w:tc>
          <w:tcPr>
            <w:tcW w:type="dxa" w:w="2960"/>
          </w:tcPr>
          <w:p>
            <w:pPr>
              <w:keepNext/>
              <w:spacing w:before="0" w:after="0"/>
              <w:jc w:val="left"/>
            </w:pPr>
            <w:r>
              <w:rPr>
                <w:rFonts w:ascii="Times New Roman" w:hAnsi="Times New Roman" w:cs="Times New Roman" w:eastAsia="Times New Roman"/>
                <w:b w:val="0"/>
                <w:i w:val="0"/>
                <w:sz w:val="20"/>
              </w:rPr>
              <w:t>Senior - Developer (AI/ML)</w:t>
            </w:r>
          </w:p>
        </w:tc>
        <w:tc>
          <w:tcPr>
            <w:tcW w:type="dxa" w:w="1000"/>
          </w:tcPr>
          <w:p>
            <w:pPr>
              <w:keepNext/>
              <w:spacing w:before="0" w:after="0"/>
              <w:jc w:val="center"/>
            </w:pPr>
            <w:r>
              <w:rPr>
                <w:rFonts w:ascii="Times New Roman" w:hAnsi="Times New Roman" w:cs="Times New Roman" w:eastAsia="Times New Roman"/>
                <w:b w:val="0"/>
                <w:i w:val="0"/>
                <w:sz w:val="20"/>
              </w:rPr>
              <w:t>0.25</w:t>
            </w:r>
          </w:p>
        </w:tc>
        <w:tc>
          <w:tcPr>
            <w:tcW w:type="dxa" w:w="1000"/>
          </w:tcPr>
          <w:p>
            <w:pPr>
              <w:keepNext/>
              <w:spacing w:before="0" w:after="0"/>
              <w:jc w:val="center"/>
            </w:pPr>
            <w:r>
              <w:rPr>
                <w:rFonts w:ascii="Times New Roman" w:hAnsi="Times New Roman" w:cs="Times New Roman" w:eastAsia="Times New Roman"/>
                <w:b w:val="0"/>
                <w:i w:val="0"/>
                <w:sz w:val="20"/>
              </w:rPr>
              <w:t>1.00</w:t>
            </w:r>
          </w:p>
        </w:tc>
        <w:tc>
          <w:tcPr>
            <w:tcW w:type="dxa" w:w="1000"/>
          </w:tcPr>
          <w:p>
            <w:pPr>
              <w:keepNext/>
              <w:spacing w:before="0" w:after="0"/>
              <w:jc w:val="center"/>
            </w:pPr>
            <w:r>
              <w:rPr>
                <w:rFonts w:ascii="Times New Roman" w:hAnsi="Times New Roman" w:cs="Times New Roman" w:eastAsia="Times New Roman"/>
                <w:b w:val="0"/>
                <w:i w:val="0"/>
                <w:sz w:val="20"/>
              </w:rPr>
              <w:t>1.00</w:t>
            </w:r>
          </w:p>
        </w:tc>
        <w:tc>
          <w:tcPr>
            <w:tcW w:type="dxa" w:w="1200"/>
          </w:tcPr>
          <w:p>
            <w:pPr>
              <w:keepNext/>
              <w:spacing w:before="0" w:after="0"/>
              <w:jc w:val="right"/>
            </w:pPr>
            <w:r>
              <w:rPr>
                <w:rFonts w:ascii="Times New Roman" w:hAnsi="Times New Roman" w:cs="Times New Roman" w:eastAsia="Times New Roman"/>
                <w:b w:val="0"/>
                <w:i w:val="0"/>
                <w:sz w:val="20"/>
              </w:rPr>
              <w:t>400</w:t>
            </w:r>
          </w:p>
        </w:tc>
        <w:tc>
          <w:tcPr>
            <w:tcW w:type="dxa" w:w="1000"/>
          </w:tcPr>
          <w:p>
            <w:pPr>
              <w:keepNext/>
              <w:spacing w:before="0" w:after="0"/>
              <w:jc w:val="center"/>
            </w:pPr>
            <w:r>
              <w:rPr>
                <w:rFonts w:ascii="Times New Roman" w:hAnsi="Times New Roman" w:cs="Times New Roman" w:eastAsia="Times New Roman"/>
                <w:b w:val="0"/>
                <w:i w:val="0"/>
                <w:sz w:val="20"/>
              </w:rPr>
              <w:t>1.00</w:t>
            </w:r>
          </w:p>
        </w:tc>
        <w:tc>
          <w:tcPr>
            <w:tcW w:type="dxa" w:w="1200"/>
          </w:tcPr>
          <w:p>
            <w:pPr>
              <w:keepNext/>
              <w:spacing w:before="0" w:after="0"/>
              <w:jc w:val="center"/>
            </w:pPr>
            <w:r>
              <w:rPr>
                <w:rFonts w:ascii="Times New Roman" w:hAnsi="Times New Roman" w:cs="Times New Roman" w:eastAsia="Times New Roman"/>
                <w:b w:val="0"/>
                <w:i w:val="0"/>
                <w:sz w:val="20"/>
              </w:rPr>
              <w:t>0.50</w:t>
            </w:r>
          </w:p>
        </w:tc>
      </w:tr>
      <w:tr>
        <w:trPr>
          <w:cantSplit/>
        </w:trPr>
        <w:tc>
          <w:tcPr>
            <w:tcW w:type="dxa" w:w="2960"/>
          </w:tcPr>
          <w:p>
            <w:pPr>
              <w:keepNext/>
              <w:spacing w:before="0" w:after="0"/>
              <w:jc w:val="left"/>
            </w:pPr>
            <w:r>
              <w:rPr>
                <w:rFonts w:ascii="Times New Roman" w:hAnsi="Times New Roman" w:cs="Times New Roman" w:eastAsia="Times New Roman"/>
                <w:b w:val="0"/>
                <w:i w:val="0"/>
                <w:sz w:val="20"/>
              </w:rPr>
              <w:t>Senior - Developer (Full Stack)</w:t>
            </w:r>
          </w:p>
        </w:tc>
        <w:tc>
          <w:tcPr>
            <w:tcW w:type="dxa" w:w="1000"/>
          </w:tcPr>
          <w:p>
            <w:pPr>
              <w:keepNext/>
              <w:spacing w:before="0" w:after="0"/>
              <w:jc w:val="center"/>
            </w:pPr>
            <w:r>
              <w:rPr>
                <w:rFonts w:ascii="Times New Roman" w:hAnsi="Times New Roman" w:cs="Times New Roman" w:eastAsia="Times New Roman"/>
                <w:b w:val="0"/>
                <w:i w:val="0"/>
                <w:sz w:val="20"/>
              </w:rPr>
            </w:r>
          </w:p>
        </w:tc>
        <w:tc>
          <w:tcPr>
            <w:tcW w:type="dxa" w:w="1000"/>
          </w:tcPr>
          <w:p>
            <w:pPr>
              <w:keepNext/>
              <w:spacing w:before="0" w:after="0"/>
              <w:jc w:val="center"/>
            </w:pPr>
            <w:r>
              <w:rPr>
                <w:rFonts w:ascii="Times New Roman" w:hAnsi="Times New Roman" w:cs="Times New Roman" w:eastAsia="Times New Roman"/>
                <w:b w:val="0"/>
                <w:i w:val="0"/>
                <w:sz w:val="20"/>
              </w:rPr>
              <w:t>1.00</w:t>
            </w:r>
          </w:p>
        </w:tc>
        <w:tc>
          <w:tcPr>
            <w:tcW w:type="dxa" w:w="1000"/>
          </w:tcPr>
          <w:p>
            <w:pPr>
              <w:keepNext/>
              <w:spacing w:before="0" w:after="0"/>
              <w:jc w:val="center"/>
            </w:pPr>
            <w:r>
              <w:rPr>
                <w:rFonts w:ascii="Times New Roman" w:hAnsi="Times New Roman" w:cs="Times New Roman" w:eastAsia="Times New Roman"/>
                <w:b w:val="0"/>
                <w:i w:val="0"/>
                <w:sz w:val="20"/>
              </w:rPr>
              <w:t>0.50</w:t>
            </w:r>
          </w:p>
        </w:tc>
        <w:tc>
          <w:tcPr>
            <w:tcW w:type="dxa" w:w="1200"/>
          </w:tcPr>
          <w:p>
            <w:pPr>
              <w:keepNext/>
              <w:spacing w:before="0" w:after="0"/>
              <w:jc w:val="right"/>
            </w:pPr>
            <w:r>
              <w:rPr>
                <w:rFonts w:ascii="Times New Roman" w:hAnsi="Times New Roman" w:cs="Times New Roman" w:eastAsia="Times New Roman"/>
                <w:b w:val="0"/>
                <w:i w:val="0"/>
                <w:sz w:val="20"/>
              </w:rPr>
              <w:t>300</w:t>
            </w:r>
          </w:p>
        </w:tc>
        <w:tc>
          <w:tcPr>
            <w:tcW w:type="dxa" w:w="1000"/>
          </w:tcPr>
          <w:p>
            <w:pPr>
              <w:keepNext/>
              <w:spacing w:before="0" w:after="0"/>
              <w:jc w:val="center"/>
            </w:pPr>
            <w:r>
              <w:rPr>
                <w:rFonts w:ascii="Times New Roman" w:hAnsi="Times New Roman" w:cs="Times New Roman" w:eastAsia="Times New Roman"/>
                <w:b w:val="0"/>
                <w:i w:val="0"/>
                <w:sz w:val="20"/>
              </w:rPr>
              <w:t>1.00</w:t>
            </w:r>
          </w:p>
        </w:tc>
        <w:tc>
          <w:tcPr>
            <w:tcW w:type="dxa" w:w="1200"/>
          </w:tcPr>
          <w:p>
            <w:pPr>
              <w:keepNext/>
              <w:spacing w:before="0" w:after="0"/>
              <w:jc w:val="center"/>
            </w:pPr>
            <w:r>
              <w:rPr>
                <w:rFonts w:ascii="Times New Roman" w:hAnsi="Times New Roman" w:cs="Times New Roman" w:eastAsia="Times New Roman"/>
                <w:b w:val="0"/>
                <w:i w:val="0"/>
                <w:sz w:val="20"/>
              </w:rPr>
              <w:t>1.00</w:t>
            </w:r>
          </w:p>
        </w:tc>
      </w:tr>
      <w:tr>
        <w:trPr>
          <w:cantSplit/>
        </w:trPr>
        <w:tc>
          <w:tcPr>
            <w:tcW w:type="dxa" w:w="2960"/>
          </w:tcPr>
          <w:p>
            <w:pPr>
              <w:keepNext/>
              <w:spacing w:before="0" w:after="0"/>
              <w:jc w:val="left"/>
            </w:pPr>
            <w:r>
              <w:rPr>
                <w:rFonts w:ascii="Times New Roman" w:hAnsi="Times New Roman" w:cs="Times New Roman" w:eastAsia="Times New Roman"/>
                <w:b w:val="0"/>
                <w:i w:val="0"/>
                <w:sz w:val="20"/>
              </w:rPr>
              <w:t>Senior - Developer (Test and Quality Lead)</w:t>
            </w:r>
          </w:p>
        </w:tc>
        <w:tc>
          <w:tcPr>
            <w:tcW w:type="dxa" w:w="1000"/>
          </w:tcPr>
          <w:p>
            <w:pPr>
              <w:keepNext/>
              <w:spacing w:before="0" w:after="0"/>
              <w:jc w:val="center"/>
            </w:pPr>
            <w:r>
              <w:rPr>
                <w:rFonts w:ascii="Times New Roman" w:hAnsi="Times New Roman" w:cs="Times New Roman" w:eastAsia="Times New Roman"/>
                <w:b w:val="0"/>
                <w:i w:val="0"/>
                <w:sz w:val="20"/>
              </w:rPr>
            </w:r>
          </w:p>
        </w:tc>
        <w:tc>
          <w:tcPr>
            <w:tcW w:type="dxa" w:w="1000"/>
          </w:tcPr>
          <w:p>
            <w:pPr>
              <w:keepNext/>
              <w:spacing w:before="0" w:after="0"/>
              <w:jc w:val="center"/>
            </w:pPr>
            <w:r>
              <w:rPr>
                <w:rFonts w:ascii="Times New Roman" w:hAnsi="Times New Roman" w:cs="Times New Roman" w:eastAsia="Times New Roman"/>
                <w:b w:val="0"/>
                <w:i w:val="0"/>
                <w:sz w:val="20"/>
              </w:rPr>
            </w:r>
          </w:p>
        </w:tc>
        <w:tc>
          <w:tcPr>
            <w:tcW w:type="dxa" w:w="1000"/>
          </w:tcPr>
          <w:p>
            <w:pPr>
              <w:keepNext/>
              <w:spacing w:before="0" w:after="0"/>
              <w:jc w:val="center"/>
            </w:pPr>
            <w:r>
              <w:rPr>
                <w:rFonts w:ascii="Times New Roman" w:hAnsi="Times New Roman" w:cs="Times New Roman" w:eastAsia="Times New Roman"/>
                <w:b w:val="0"/>
                <w:i w:val="0"/>
                <w:sz w:val="20"/>
              </w:rPr>
            </w:r>
          </w:p>
        </w:tc>
        <w:tc>
          <w:tcPr>
            <w:tcW w:type="dxa" w:w="1200"/>
          </w:tcPr>
          <w:p>
            <w:pPr>
              <w:keepNext/>
              <w:spacing w:before="0" w:after="0"/>
              <w:jc w:val="right"/>
            </w:pPr>
            <w:r>
              <w:rPr>
                <w:rFonts w:ascii="Times New Roman" w:hAnsi="Times New Roman" w:cs="Times New Roman" w:eastAsia="Times New Roman"/>
                <w:b w:val="0"/>
                <w:i w:val="0"/>
                <w:sz w:val="20"/>
              </w:rPr>
            </w:r>
          </w:p>
        </w:tc>
        <w:tc>
          <w:tcPr>
            <w:tcW w:type="dxa" w:w="1000"/>
          </w:tcPr>
          <w:p>
            <w:pPr>
              <w:keepNext/>
              <w:spacing w:before="0" w:after="0"/>
              <w:jc w:val="center"/>
            </w:pPr>
            <w:r>
              <w:rPr>
                <w:rFonts w:ascii="Times New Roman" w:hAnsi="Times New Roman" w:cs="Times New Roman" w:eastAsia="Times New Roman"/>
                <w:b w:val="0"/>
                <w:i w:val="0"/>
                <w:sz w:val="20"/>
              </w:rPr>
              <w:t>0.50</w:t>
            </w:r>
          </w:p>
        </w:tc>
        <w:tc>
          <w:tcPr>
            <w:tcW w:type="dxa" w:w="1200"/>
          </w:tcPr>
          <w:p>
            <w:pPr>
              <w:keepNext/>
              <w:spacing w:before="0" w:after="0"/>
              <w:jc w:val="center"/>
            </w:pPr>
            <w:r>
              <w:rPr>
                <w:rFonts w:ascii="Times New Roman" w:hAnsi="Times New Roman" w:cs="Times New Roman" w:eastAsia="Times New Roman"/>
                <w:b w:val="0"/>
                <w:i w:val="0"/>
                <w:sz w:val="20"/>
              </w:rPr>
              <w:t>0.50</w:t>
            </w:r>
          </w:p>
        </w:tc>
      </w:tr>
      <w:tr>
        <w:trPr>
          <w:cantSplit/>
        </w:trPr>
        <w:tc>
          <w:tcPr>
            <w:tcW w:type="dxa" w:w="2960"/>
          </w:tcPr>
          <w:p>
            <w:pPr>
              <w:keepNext/>
              <w:spacing w:before="0" w:after="0"/>
              <w:jc w:val="left"/>
            </w:pPr>
            <w:r>
              <w:rPr>
                <w:rFonts w:ascii="Times New Roman" w:hAnsi="Times New Roman" w:cs="Times New Roman" w:eastAsia="Times New Roman"/>
                <w:b w:val="0"/>
                <w:i w:val="0"/>
                <w:sz w:val="20"/>
              </w:rPr>
              <w:t>Senior (Change Management and Training Lead)</w:t>
            </w:r>
          </w:p>
        </w:tc>
        <w:tc>
          <w:tcPr>
            <w:tcW w:type="dxa" w:w="1000"/>
          </w:tcPr>
          <w:p>
            <w:pPr>
              <w:keepNext/>
              <w:spacing w:before="0" w:after="0"/>
              <w:jc w:val="center"/>
            </w:pPr>
            <w:r>
              <w:rPr>
                <w:rFonts w:ascii="Times New Roman" w:hAnsi="Times New Roman" w:cs="Times New Roman" w:eastAsia="Times New Roman"/>
                <w:b w:val="0"/>
                <w:i w:val="0"/>
                <w:sz w:val="20"/>
              </w:rPr>
            </w:r>
          </w:p>
        </w:tc>
        <w:tc>
          <w:tcPr>
            <w:tcW w:type="dxa" w:w="1000"/>
          </w:tcPr>
          <w:p>
            <w:pPr>
              <w:keepNext/>
              <w:spacing w:before="0" w:after="0"/>
              <w:jc w:val="center"/>
            </w:pPr>
            <w:r>
              <w:rPr>
                <w:rFonts w:ascii="Times New Roman" w:hAnsi="Times New Roman" w:cs="Times New Roman" w:eastAsia="Times New Roman"/>
                <w:b w:val="0"/>
                <w:i w:val="0"/>
                <w:sz w:val="20"/>
              </w:rPr>
            </w:r>
          </w:p>
        </w:tc>
        <w:tc>
          <w:tcPr>
            <w:tcW w:type="dxa" w:w="1000"/>
          </w:tcPr>
          <w:p>
            <w:pPr>
              <w:keepNext/>
              <w:spacing w:before="0" w:after="0"/>
              <w:jc w:val="center"/>
            </w:pPr>
            <w:r>
              <w:rPr>
                <w:rFonts w:ascii="Times New Roman" w:hAnsi="Times New Roman" w:cs="Times New Roman" w:eastAsia="Times New Roman"/>
                <w:b w:val="0"/>
                <w:i w:val="0"/>
                <w:sz w:val="20"/>
              </w:rPr>
            </w:r>
          </w:p>
        </w:tc>
        <w:tc>
          <w:tcPr>
            <w:tcW w:type="dxa" w:w="1200"/>
          </w:tcPr>
          <w:p>
            <w:pPr>
              <w:keepNext/>
              <w:spacing w:before="0" w:after="0"/>
              <w:jc w:val="right"/>
            </w:pPr>
            <w:r>
              <w:rPr>
                <w:rFonts w:ascii="Times New Roman" w:hAnsi="Times New Roman" w:cs="Times New Roman" w:eastAsia="Times New Roman"/>
                <w:b w:val="0"/>
                <w:i w:val="0"/>
                <w:sz w:val="20"/>
              </w:rPr>
            </w:r>
          </w:p>
        </w:tc>
        <w:tc>
          <w:tcPr>
            <w:tcW w:type="dxa" w:w="1000"/>
          </w:tcPr>
          <w:p>
            <w:pPr>
              <w:keepNext/>
              <w:spacing w:before="0" w:after="0"/>
              <w:jc w:val="center"/>
            </w:pPr>
            <w:r>
              <w:rPr>
                <w:rFonts w:ascii="Times New Roman" w:hAnsi="Times New Roman" w:cs="Times New Roman" w:eastAsia="Times New Roman"/>
                <w:b w:val="0"/>
                <w:i w:val="0"/>
                <w:sz w:val="20"/>
              </w:rPr>
            </w:r>
          </w:p>
        </w:tc>
        <w:tc>
          <w:tcPr>
            <w:tcW w:type="dxa" w:w="1200"/>
          </w:tcPr>
          <w:p>
            <w:pPr>
              <w:keepNext/>
              <w:spacing w:before="0" w:after="0"/>
              <w:jc w:val="center"/>
            </w:pPr>
            <w:r>
              <w:rPr>
                <w:rFonts w:ascii="Times New Roman" w:hAnsi="Times New Roman" w:cs="Times New Roman" w:eastAsia="Times New Roman"/>
                <w:b w:val="0"/>
                <w:i w:val="0"/>
                <w:sz w:val="20"/>
              </w:rPr>
              <w:t>1.00</w:t>
            </w:r>
          </w:p>
        </w:tc>
      </w:tr>
      <w:tr>
        <w:trPr>
          <w:cantSplit/>
        </w:trPr>
        <w:tc>
          <w:tcPr>
            <w:tcW w:type="dxa" w:w="2960"/>
            <w:shd w:val="clear" w:color="auto" w:fill="DCECC6"/>
          </w:tcPr>
          <w:p>
            <w:pPr>
              <w:spacing w:before="0" w:after="0"/>
              <w:jc w:val="left"/>
            </w:pPr>
            <w:r>
              <w:rPr>
                <w:rFonts w:ascii="Times New Roman" w:hAnsi="Times New Roman" w:cs="Times New Roman" w:eastAsia="Times New Roman"/>
                <w:b/>
                <w:i w:val="0"/>
                <w:sz w:val="20"/>
              </w:rPr>
              <w:t>Total hours</w:t>
            </w:r>
          </w:p>
        </w:tc>
        <w:tc>
          <w:tcPr>
            <w:tcW w:type="dxa" w:w="1000"/>
            <w:shd w:val="clear" w:color="auto" w:fill="DCECC6"/>
          </w:tcPr>
          <w:p>
            <w:pPr>
              <w:spacing w:before="0" w:after="0"/>
              <w:jc w:val="center"/>
            </w:pPr>
            <w:r>
              <w:rPr>
                <w:rFonts w:ascii="Times New Roman" w:hAnsi="Times New Roman" w:cs="Times New Roman" w:eastAsia="Times New Roman"/>
                <w:b/>
                <w:i w:val="0"/>
                <w:sz w:val="20"/>
              </w:rPr>
              <w:t>440</w:t>
            </w:r>
          </w:p>
        </w:tc>
        <w:tc>
          <w:tcPr>
            <w:tcW w:type="dxa" w:w="1000"/>
            <w:shd w:val="clear" w:color="auto" w:fill="DCECC6"/>
          </w:tcPr>
          <w:p>
            <w:pPr>
              <w:spacing w:before="0" w:after="0"/>
              <w:jc w:val="center"/>
            </w:pPr>
            <w:r>
              <w:rPr>
                <w:rFonts w:ascii="Times New Roman" w:hAnsi="Times New Roman" w:cs="Times New Roman" w:eastAsia="Times New Roman"/>
                <w:b/>
                <w:i w:val="0"/>
                <w:sz w:val="20"/>
              </w:rPr>
              <w:t>840</w:t>
            </w:r>
          </w:p>
        </w:tc>
        <w:tc>
          <w:tcPr>
            <w:tcW w:type="dxa" w:w="1000"/>
            <w:shd w:val="clear" w:color="auto" w:fill="DCECC6"/>
          </w:tcPr>
          <w:p>
            <w:pPr>
              <w:spacing w:before="0" w:after="0"/>
              <w:jc w:val="center"/>
            </w:pPr>
            <w:r>
              <w:rPr>
                <w:rFonts w:ascii="Times New Roman" w:hAnsi="Times New Roman" w:cs="Times New Roman" w:eastAsia="Times New Roman"/>
                <w:b/>
                <w:i w:val="0"/>
                <w:sz w:val="20"/>
              </w:rPr>
              <w:t>360</w:t>
            </w:r>
          </w:p>
        </w:tc>
        <w:tc>
          <w:tcPr>
            <w:tcW w:type="dxa" w:w="1200"/>
            <w:shd w:val="clear" w:color="auto" w:fill="DCECC6"/>
          </w:tcPr>
          <w:p>
            <w:pPr>
              <w:spacing w:before="0" w:after="0"/>
              <w:jc w:val="right"/>
            </w:pPr>
            <w:r>
              <w:rPr>
                <w:rFonts w:ascii="Times New Roman" w:hAnsi="Times New Roman" w:cs="Times New Roman" w:eastAsia="Times New Roman"/>
                <w:b/>
                <w:i w:val="0"/>
                <w:sz w:val="20"/>
              </w:rPr>
              <w:t>1,640</w:t>
            </w:r>
          </w:p>
        </w:tc>
        <w:tc>
          <w:tcPr>
            <w:tcW w:type="dxa" w:w="1000"/>
            <w:shd w:val="clear" w:color="auto" w:fill="DCECC6"/>
          </w:tcPr>
          <w:p>
            <w:pPr>
              <w:spacing w:before="0" w:after="0"/>
              <w:jc w:val="center"/>
            </w:pPr>
            <w:r>
              <w:rPr>
                <w:rFonts w:ascii="Times New Roman" w:hAnsi="Times New Roman" w:cs="Times New Roman" w:eastAsia="Times New Roman"/>
                <w:b/>
                <w:i w:val="0"/>
                <w:sz w:val="20"/>
              </w:rPr>
              <w:t>1,920</w:t>
            </w:r>
          </w:p>
        </w:tc>
        <w:tc>
          <w:tcPr>
            <w:tcW w:type="dxa" w:w="1200"/>
            <w:shd w:val="clear" w:color="auto" w:fill="DCECC6"/>
          </w:tcPr>
          <w:p>
            <w:pPr>
              <w:spacing w:before="0" w:after="0"/>
              <w:jc w:val="center"/>
            </w:pPr>
            <w:r>
              <w:rPr>
                <w:rFonts w:ascii="Times New Roman" w:hAnsi="Times New Roman" w:cs="Times New Roman" w:eastAsia="Times New Roman"/>
                <w:b/>
                <w:i w:val="0"/>
                <w:sz w:val="20"/>
              </w:rPr>
              <w:t>2,720</w:t>
            </w:r>
          </w:p>
        </w:tc>
      </w:tr>
    </w:tbl>
    <w:p>
      <w:pPr>
        <w:spacing w:after="80"/>
      </w:pPr>
    </w:p>
    <w:p>
      <w:pPr>
        <w:keepNext w:val="0"/>
        <w:spacing w:after="120"/>
      </w:pPr>
      <w:r>
        <w:rPr>
          <w:rFonts w:ascii="Times New Roman" w:hAnsi="Times New Roman" w:cs="Times New Roman" w:eastAsia="Times New Roman"/>
          <w:b w:val="0"/>
          <w:i w:val="0"/>
          <w:sz w:val="24"/>
        </w:rPr>
        <w:t>Hours are FTE multiplied by 40 hours and the base duration: 1,640 hours for Task Areas 1 to 3, between 1,270 hours and 2,010 at the shortest and longest durations. The optional pilot is 1,920 hours and the optional production and rollout 2,720 hours.</w:t>
      </w:r>
    </w:p>
    <w:p>
      <w:pPr>
        <w:pStyle w:val="Heading1"/>
      </w:pPr>
      <w:r>
        <w:rPr>
          <w:rFonts w:ascii="Times New Roman" w:hAnsi="Times New Roman" w:cs="Times New Roman" w:eastAsia="Times New Roman"/>
          <w:b/>
          <w:i w:val="0"/>
          <w:sz w:val="32"/>
        </w:rPr>
        <w:t>6.0</w:t>
        <w:tab/>
        <w:t>Success Factors</w:t>
      </w:r>
    </w:p>
    <w:p>
      <w:pPr>
        <w:keepNext w:val="0"/>
        <w:spacing w:after="120"/>
      </w:pPr>
      <w:r>
        <w:rPr>
          <w:rFonts w:ascii="Times New Roman" w:hAnsi="Times New Roman" w:cs="Times New Roman" w:eastAsia="Times New Roman"/>
          <w:b w:val="0"/>
          <w:i w:val="0"/>
          <w:sz w:val="24"/>
        </w:rPr>
        <w:t>Three things make this effort likely to succeed where earlier automation struggled. The technician stays in control: nothing reaches FileOnQ without approval, and every decision is logged. Results are measured, not projected: the prototype is scored on layouts it has never seen, and OCFO’s own technicians produce the figures on which the pilot decision rests. And ICE adopts nothing new beyond the review screen: the automation sits on top of the mailbox and FileOnQ as they are.</w:t>
      </w:r>
    </w:p>
    <w:p>
      <w:pPr>
        <w:pStyle w:val="Heading1"/>
      </w:pPr>
      <w:r>
        <w:rPr>
          <w:rFonts w:ascii="Times New Roman" w:hAnsi="Times New Roman" w:cs="Times New Roman" w:eastAsia="Times New Roman"/>
          <w:b/>
          <w:i w:val="0"/>
          <w:sz w:val="32"/>
        </w:rPr>
        <w:t>7.0</w:t>
        <w:tab/>
        <w:t>Deliverables</w:t>
      </w:r>
    </w:p>
    <w:p>
      <w:pPr>
        <w:keepNext/>
        <w:spacing w:after="120"/>
      </w:pPr>
      <w:r>
        <w:rPr>
          <w:rFonts w:ascii="Times New Roman" w:hAnsi="Times New Roman" w:cs="Times New Roman" w:eastAsia="Times New Roman"/>
          <w:b w:val="0"/>
          <w:i w:val="0"/>
          <w:sz w:val="24"/>
        </w:rPr>
        <w:t>Each deliverable is reviewed with OFM’s process owners before the gate review that follows it. Timing is in weeks after contract award on the base schedule.</w:t>
      </w:r>
    </w:p>
    <w:tbl>
      <w:tblPr>
        <w:tblStyle w:val="TableGrid"/>
        <w:tblW w:type="dxa" w:w="9360"/>
        <w:jc w:val="center"/>
        <w:tblLayout w:type="fixed"/>
        <w:tblLook w:firstColumn="1" w:firstRow="1" w:lastColumn="0" w:lastRow="0" w:noHBand="0" w:noVBand="1" w:val="04A0"/>
        <w:tblCellMar>
          <w:top w:w="40" w:type="dxa"/>
          <w:left w:w="60" w:type="dxa"/>
          <w:bottom w:w="40" w:type="dxa"/>
          <w:right w:w="60" w:type="dxa"/>
        </w:tblCellMa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760"/>
        <w:gridCol w:w="1400"/>
        <w:gridCol w:w="2200"/>
      </w:tblGrid>
      <w:tr>
        <w:trPr>
          <w:tblHeader/>
          <w:cantSplit/>
        </w:trPr>
        <w:tc>
          <w:tcPr>
            <w:tcW w:type="dxa" w:w="5760"/>
            <w:shd w:val="clear" w:color="auto" w:fill="2F5D27"/>
          </w:tcPr>
          <w:p>
            <w:pPr>
              <w:keepNext/>
              <w:spacing w:before="0" w:after="0"/>
              <w:jc w:val="left"/>
            </w:pPr>
            <w:r>
              <w:rPr>
                <w:rFonts w:ascii="Times New Roman" w:hAnsi="Times New Roman" w:cs="Times New Roman" w:eastAsia="Times New Roman"/>
                <w:b/>
                <w:i w:val="0"/>
                <w:color w:val="FFFFFF"/>
                <w:sz w:val="20"/>
              </w:rPr>
              <w:t>Deliverable</w:t>
            </w:r>
          </w:p>
        </w:tc>
        <w:tc>
          <w:tcPr>
            <w:tcW w:type="dxa" w:w="1400"/>
            <w:shd w:val="clear" w:color="auto" w:fill="2F5D27"/>
          </w:tcPr>
          <w:p>
            <w:pPr>
              <w:keepNext/>
              <w:spacing w:before="0" w:after="0"/>
              <w:jc w:val="center"/>
            </w:pPr>
            <w:r>
              <w:rPr>
                <w:rFonts w:ascii="Times New Roman" w:hAnsi="Times New Roman" w:cs="Times New Roman" w:eastAsia="Times New Roman"/>
                <w:b/>
                <w:i w:val="0"/>
                <w:color w:val="FFFFFF"/>
                <w:sz w:val="20"/>
              </w:rPr>
              <w:t>Task Area</w:t>
            </w:r>
          </w:p>
        </w:tc>
        <w:tc>
          <w:tcPr>
            <w:tcW w:type="dxa" w:w="2200"/>
            <w:shd w:val="clear" w:color="auto" w:fill="2F5D27"/>
          </w:tcPr>
          <w:p>
            <w:pPr>
              <w:keepNext/>
              <w:spacing w:before="0" w:after="0"/>
              <w:jc w:val="left"/>
            </w:pPr>
            <w:r>
              <w:rPr>
                <w:rFonts w:ascii="Times New Roman" w:hAnsi="Times New Roman" w:cs="Times New Roman" w:eastAsia="Times New Roman"/>
                <w:b/>
                <w:i w:val="0"/>
                <w:color w:val="FFFFFF"/>
                <w:sz w:val="20"/>
              </w:rPr>
              <w:t>Timing</w:t>
            </w:r>
          </w:p>
        </w:tc>
      </w:tr>
      <w:tr>
        <w:trPr>
          <w:cantSplit/>
        </w:trPr>
        <w:tc>
          <w:tcPr>
            <w:tcW w:type="dxa" w:w="5760"/>
          </w:tcPr>
          <w:p>
            <w:pPr>
              <w:keepNext/>
              <w:spacing w:before="0" w:after="0"/>
              <w:jc w:val="left"/>
            </w:pPr>
            <w:r>
              <w:rPr>
                <w:rFonts w:ascii="Times New Roman" w:hAnsi="Times New Roman" w:cs="Times New Roman" w:eastAsia="Times New Roman"/>
                <w:b w:val="0"/>
                <w:i w:val="0"/>
                <w:sz w:val="22"/>
              </w:rPr>
              <w:t>D1 Discovery report: current process, validation checklist, FileOnQ findings, baseline</w:t>
            </w:r>
          </w:p>
        </w:tc>
        <w:tc>
          <w:tcPr>
            <w:tcW w:type="dxa" w:w="1400"/>
          </w:tcPr>
          <w:p>
            <w:pPr>
              <w:keepNext/>
              <w:spacing w:before="0" w:after="0"/>
              <w:jc w:val="center"/>
            </w:pPr>
            <w:r>
              <w:rPr>
                <w:rFonts w:ascii="Times New Roman" w:hAnsi="Times New Roman" w:cs="Times New Roman" w:eastAsia="Times New Roman"/>
                <w:b w:val="0"/>
                <w:i w:val="0"/>
                <w:sz w:val="22"/>
              </w:rPr>
              <w:t>1</w:t>
            </w:r>
          </w:p>
        </w:tc>
        <w:tc>
          <w:tcPr>
            <w:tcW w:type="dxa" w:w="2200"/>
          </w:tcPr>
          <w:p>
            <w:pPr>
              <w:keepNext/>
              <w:spacing w:before="0" w:after="0"/>
              <w:jc w:val="left"/>
            </w:pPr>
            <w:r>
              <w:rPr>
                <w:rFonts w:ascii="Times New Roman" w:hAnsi="Times New Roman" w:cs="Times New Roman" w:eastAsia="Times New Roman"/>
                <w:b w:val="0"/>
                <w:i w:val="0"/>
                <w:sz w:val="22"/>
              </w:rPr>
              <w:t>Week 4</w:t>
            </w:r>
          </w:p>
        </w:tc>
      </w:tr>
      <w:tr>
        <w:trPr>
          <w:cantSplit/>
        </w:trPr>
        <w:tc>
          <w:tcPr>
            <w:tcW w:type="dxa" w:w="5760"/>
          </w:tcPr>
          <w:p>
            <w:pPr>
              <w:keepNext/>
              <w:spacing w:before="0" w:after="0"/>
              <w:jc w:val="left"/>
            </w:pPr>
            <w:r>
              <w:rPr>
                <w:rFonts w:ascii="Times New Roman" w:hAnsi="Times New Roman" w:cs="Times New Roman" w:eastAsia="Times New Roman"/>
                <w:b w:val="0"/>
                <w:i w:val="0"/>
                <w:sz w:val="22"/>
              </w:rPr>
              <w:t>D2 Updated project plan and concept of operations</w:t>
            </w:r>
          </w:p>
        </w:tc>
        <w:tc>
          <w:tcPr>
            <w:tcW w:type="dxa" w:w="1400"/>
          </w:tcPr>
          <w:p>
            <w:pPr>
              <w:keepNext/>
              <w:spacing w:before="0" w:after="0"/>
              <w:jc w:val="center"/>
            </w:pPr>
            <w:r>
              <w:rPr>
                <w:rFonts w:ascii="Times New Roman" w:hAnsi="Times New Roman" w:cs="Times New Roman" w:eastAsia="Times New Roman"/>
                <w:b w:val="0"/>
                <w:i w:val="0"/>
                <w:sz w:val="22"/>
              </w:rPr>
              <w:t>1</w:t>
            </w:r>
          </w:p>
        </w:tc>
        <w:tc>
          <w:tcPr>
            <w:tcW w:type="dxa" w:w="2200"/>
          </w:tcPr>
          <w:p>
            <w:pPr>
              <w:keepNext/>
              <w:spacing w:before="0" w:after="0"/>
              <w:jc w:val="left"/>
            </w:pPr>
            <w:r>
              <w:rPr>
                <w:rFonts w:ascii="Times New Roman" w:hAnsi="Times New Roman" w:cs="Times New Roman" w:eastAsia="Times New Roman"/>
                <w:b w:val="0"/>
                <w:i w:val="0"/>
                <w:sz w:val="22"/>
              </w:rPr>
              <w:t>Week 4</w:t>
            </w:r>
          </w:p>
        </w:tc>
      </w:tr>
      <w:tr>
        <w:trPr>
          <w:cantSplit/>
        </w:trPr>
        <w:tc>
          <w:tcPr>
            <w:tcW w:type="dxa" w:w="5760"/>
          </w:tcPr>
          <w:p>
            <w:pPr>
              <w:keepNext/>
              <w:spacing w:before="0" w:after="0"/>
              <w:jc w:val="left"/>
            </w:pPr>
            <w:r>
              <w:rPr>
                <w:rFonts w:ascii="Times New Roman" w:hAnsi="Times New Roman" w:cs="Times New Roman" w:eastAsia="Times New Roman"/>
                <w:b w:val="0"/>
                <w:i w:val="0"/>
                <w:sz w:val="22"/>
              </w:rPr>
              <w:t>D3 Success targets and measurement method</w:t>
            </w:r>
          </w:p>
        </w:tc>
        <w:tc>
          <w:tcPr>
            <w:tcW w:type="dxa" w:w="1400"/>
          </w:tcPr>
          <w:p>
            <w:pPr>
              <w:keepNext/>
              <w:spacing w:before="0" w:after="0"/>
              <w:jc w:val="center"/>
            </w:pPr>
            <w:r>
              <w:rPr>
                <w:rFonts w:ascii="Times New Roman" w:hAnsi="Times New Roman" w:cs="Times New Roman" w:eastAsia="Times New Roman"/>
                <w:b w:val="0"/>
                <w:i w:val="0"/>
                <w:sz w:val="22"/>
              </w:rPr>
              <w:t>1</w:t>
            </w:r>
          </w:p>
        </w:tc>
        <w:tc>
          <w:tcPr>
            <w:tcW w:type="dxa" w:w="2200"/>
          </w:tcPr>
          <w:p>
            <w:pPr>
              <w:keepNext/>
              <w:spacing w:before="0" w:after="0"/>
              <w:jc w:val="left"/>
            </w:pPr>
            <w:r>
              <w:rPr>
                <w:rFonts w:ascii="Times New Roman" w:hAnsi="Times New Roman" w:cs="Times New Roman" w:eastAsia="Times New Roman"/>
                <w:b w:val="0"/>
                <w:i w:val="0"/>
                <w:sz w:val="22"/>
              </w:rPr>
              <w:t>Week 4</w:t>
            </w:r>
          </w:p>
        </w:tc>
      </w:tr>
      <w:tr>
        <w:trPr>
          <w:cantSplit/>
        </w:trPr>
        <w:tc>
          <w:tcPr>
            <w:tcW w:type="dxa" w:w="5760"/>
          </w:tcPr>
          <w:p>
            <w:pPr>
              <w:keepNext/>
              <w:spacing w:before="0" w:after="0"/>
              <w:jc w:val="left"/>
            </w:pPr>
            <w:r>
              <w:rPr>
                <w:rFonts w:ascii="Times New Roman" w:hAnsi="Times New Roman" w:cs="Times New Roman" w:eastAsia="Times New Roman"/>
                <w:b w:val="0"/>
                <w:i w:val="0"/>
                <w:sz w:val="22"/>
              </w:rPr>
              <w:t>D4 Synthetic invoice test set with known correct values</w:t>
            </w:r>
          </w:p>
        </w:tc>
        <w:tc>
          <w:tcPr>
            <w:tcW w:type="dxa" w:w="1400"/>
          </w:tcPr>
          <w:p>
            <w:pPr>
              <w:keepNext/>
              <w:spacing w:before="0" w:after="0"/>
              <w:jc w:val="center"/>
            </w:pPr>
            <w:r>
              <w:rPr>
                <w:rFonts w:ascii="Times New Roman" w:hAnsi="Times New Roman" w:cs="Times New Roman" w:eastAsia="Times New Roman"/>
                <w:b w:val="0"/>
                <w:i w:val="0"/>
                <w:sz w:val="22"/>
              </w:rPr>
              <w:t>2</w:t>
            </w:r>
          </w:p>
        </w:tc>
        <w:tc>
          <w:tcPr>
            <w:tcW w:type="dxa" w:w="2200"/>
          </w:tcPr>
          <w:p>
            <w:pPr>
              <w:keepNext/>
              <w:spacing w:before="0" w:after="0"/>
              <w:jc w:val="left"/>
            </w:pPr>
            <w:r>
              <w:rPr>
                <w:rFonts w:ascii="Times New Roman" w:hAnsi="Times New Roman" w:cs="Times New Roman" w:eastAsia="Times New Roman"/>
                <w:b w:val="0"/>
                <w:i w:val="0"/>
                <w:sz w:val="22"/>
              </w:rPr>
              <w:t>Week 6</w:t>
            </w:r>
          </w:p>
        </w:tc>
      </w:tr>
      <w:tr>
        <w:trPr>
          <w:cantSplit/>
        </w:trPr>
        <w:tc>
          <w:tcPr>
            <w:tcW w:type="dxa" w:w="5760"/>
          </w:tcPr>
          <w:p>
            <w:pPr>
              <w:keepNext/>
              <w:spacing w:before="0" w:after="0"/>
              <w:jc w:val="left"/>
            </w:pPr>
            <w:r>
              <w:rPr>
                <w:rFonts w:ascii="Times New Roman" w:hAnsi="Times New Roman" w:cs="Times New Roman" w:eastAsia="Times New Roman"/>
                <w:b w:val="0"/>
                <w:i w:val="0"/>
                <w:sz w:val="22"/>
              </w:rPr>
              <w:t>D5 Working prototype with review screen, mock FileOnQ record and audit log</w:t>
            </w:r>
          </w:p>
        </w:tc>
        <w:tc>
          <w:tcPr>
            <w:tcW w:type="dxa" w:w="1400"/>
          </w:tcPr>
          <w:p>
            <w:pPr>
              <w:keepNext/>
              <w:spacing w:before="0" w:after="0"/>
              <w:jc w:val="center"/>
            </w:pPr>
            <w:r>
              <w:rPr>
                <w:rFonts w:ascii="Times New Roman" w:hAnsi="Times New Roman" w:cs="Times New Roman" w:eastAsia="Times New Roman"/>
                <w:b w:val="0"/>
                <w:i w:val="0"/>
                <w:sz w:val="22"/>
              </w:rPr>
              <w:t>2</w:t>
            </w:r>
          </w:p>
        </w:tc>
        <w:tc>
          <w:tcPr>
            <w:tcW w:type="dxa" w:w="2200"/>
          </w:tcPr>
          <w:p>
            <w:pPr>
              <w:keepNext/>
              <w:spacing w:before="0" w:after="0"/>
              <w:jc w:val="left"/>
            </w:pPr>
            <w:r>
              <w:rPr>
                <w:rFonts w:ascii="Times New Roman" w:hAnsi="Times New Roman" w:cs="Times New Roman" w:eastAsia="Times New Roman"/>
                <w:b w:val="0"/>
                <w:i w:val="0"/>
                <w:sz w:val="22"/>
              </w:rPr>
              <w:t>Week 10</w:t>
            </w:r>
          </w:p>
        </w:tc>
      </w:tr>
      <w:tr>
        <w:trPr>
          <w:cantSplit/>
        </w:trPr>
        <w:tc>
          <w:tcPr>
            <w:tcW w:type="dxa" w:w="5760"/>
          </w:tcPr>
          <w:p>
            <w:pPr>
              <w:keepNext/>
              <w:spacing w:before="0" w:after="0"/>
              <w:jc w:val="left"/>
            </w:pPr>
            <w:r>
              <w:rPr>
                <w:rFonts w:ascii="Times New Roman" w:hAnsi="Times New Roman" w:cs="Times New Roman" w:eastAsia="Times New Roman"/>
                <w:b w:val="0"/>
                <w:i w:val="0"/>
                <w:sz w:val="22"/>
              </w:rPr>
              <w:t>D6 Security and data-handling summary for OCIO, and draft approval requests for a pilot</w:t>
            </w:r>
          </w:p>
        </w:tc>
        <w:tc>
          <w:tcPr>
            <w:tcW w:type="dxa" w:w="1400"/>
          </w:tcPr>
          <w:p>
            <w:pPr>
              <w:keepNext/>
              <w:spacing w:before="0" w:after="0"/>
              <w:jc w:val="center"/>
            </w:pPr>
            <w:r>
              <w:rPr>
                <w:rFonts w:ascii="Times New Roman" w:hAnsi="Times New Roman" w:cs="Times New Roman" w:eastAsia="Times New Roman"/>
                <w:b w:val="0"/>
                <w:i w:val="0"/>
                <w:sz w:val="22"/>
              </w:rPr>
              <w:t>1 to 2</w:t>
            </w:r>
          </w:p>
        </w:tc>
        <w:tc>
          <w:tcPr>
            <w:tcW w:type="dxa" w:w="2200"/>
          </w:tcPr>
          <w:p>
            <w:pPr>
              <w:keepNext/>
              <w:spacing w:before="0" w:after="0"/>
              <w:jc w:val="left"/>
            </w:pPr>
            <w:r>
              <w:rPr>
                <w:rFonts w:ascii="Times New Roman" w:hAnsi="Times New Roman" w:cs="Times New Roman" w:eastAsia="Times New Roman"/>
                <w:b w:val="0"/>
                <w:i w:val="0"/>
                <w:sz w:val="22"/>
              </w:rPr>
              <w:t>Week 3; drafts by Week 4</w:t>
            </w:r>
          </w:p>
        </w:tc>
      </w:tr>
      <w:tr>
        <w:trPr>
          <w:cantSplit/>
        </w:trPr>
        <w:tc>
          <w:tcPr>
            <w:tcW w:type="dxa" w:w="5760"/>
          </w:tcPr>
          <w:p>
            <w:pPr>
              <w:keepNext/>
              <w:spacing w:before="0" w:after="0"/>
              <w:jc w:val="left"/>
            </w:pPr>
            <w:r>
              <w:rPr>
                <w:rFonts w:ascii="Times New Roman" w:hAnsi="Times New Roman" w:cs="Times New Roman" w:eastAsia="Times New Roman"/>
                <w:b w:val="0"/>
                <w:i w:val="0"/>
                <w:sz w:val="22"/>
              </w:rPr>
              <w:t>D7 Metrics report against the agreed targets</w:t>
            </w:r>
          </w:p>
        </w:tc>
        <w:tc>
          <w:tcPr>
            <w:tcW w:type="dxa" w:w="1400"/>
          </w:tcPr>
          <w:p>
            <w:pPr>
              <w:keepNext/>
              <w:spacing w:before="0" w:after="0"/>
              <w:jc w:val="center"/>
            </w:pPr>
            <w:r>
              <w:rPr>
                <w:rFonts w:ascii="Times New Roman" w:hAnsi="Times New Roman" w:cs="Times New Roman" w:eastAsia="Times New Roman"/>
                <w:b w:val="0"/>
                <w:i w:val="0"/>
                <w:sz w:val="22"/>
              </w:rPr>
              <w:t>3</w:t>
            </w:r>
          </w:p>
        </w:tc>
        <w:tc>
          <w:tcPr>
            <w:tcW w:type="dxa" w:w="2200"/>
          </w:tcPr>
          <w:p>
            <w:pPr>
              <w:keepNext/>
              <w:spacing w:before="0" w:after="0"/>
              <w:jc w:val="left"/>
            </w:pPr>
            <w:r>
              <w:rPr>
                <w:rFonts w:ascii="Times New Roman" w:hAnsi="Times New Roman" w:cs="Times New Roman" w:eastAsia="Times New Roman"/>
                <w:b w:val="0"/>
                <w:i w:val="0"/>
                <w:sz w:val="22"/>
              </w:rPr>
              <w:t>Week 13</w:t>
            </w:r>
          </w:p>
        </w:tc>
      </w:tr>
      <w:tr>
        <w:trPr>
          <w:cantSplit/>
        </w:trPr>
        <w:tc>
          <w:tcPr>
            <w:tcW w:type="dxa" w:w="5760"/>
          </w:tcPr>
          <w:p>
            <w:pPr>
              <w:keepNext/>
              <w:spacing w:before="0" w:after="0"/>
              <w:jc w:val="left"/>
            </w:pPr>
            <w:r>
              <w:rPr>
                <w:rFonts w:ascii="Times New Roman" w:hAnsi="Times New Roman" w:cs="Times New Roman" w:eastAsia="Times New Roman"/>
                <w:b w:val="0"/>
                <w:i w:val="0"/>
                <w:sz w:val="22"/>
              </w:rPr>
              <w:t>D8 Pilot recommendation, with a draft pilot plan and estimate</w:t>
            </w:r>
          </w:p>
        </w:tc>
        <w:tc>
          <w:tcPr>
            <w:tcW w:type="dxa" w:w="1400"/>
          </w:tcPr>
          <w:p>
            <w:pPr>
              <w:keepNext/>
              <w:spacing w:before="0" w:after="0"/>
              <w:jc w:val="center"/>
            </w:pPr>
            <w:r>
              <w:rPr>
                <w:rFonts w:ascii="Times New Roman" w:hAnsi="Times New Roman" w:cs="Times New Roman" w:eastAsia="Times New Roman"/>
                <w:b w:val="0"/>
                <w:i w:val="0"/>
                <w:sz w:val="22"/>
              </w:rPr>
              <w:t>3</w:t>
            </w:r>
          </w:p>
        </w:tc>
        <w:tc>
          <w:tcPr>
            <w:tcW w:type="dxa" w:w="2200"/>
          </w:tcPr>
          <w:p>
            <w:pPr>
              <w:keepNext/>
              <w:spacing w:before="0" w:after="0"/>
              <w:jc w:val="left"/>
            </w:pPr>
            <w:r>
              <w:rPr>
                <w:rFonts w:ascii="Times New Roman" w:hAnsi="Times New Roman" w:cs="Times New Roman" w:eastAsia="Times New Roman"/>
                <w:b w:val="0"/>
                <w:i w:val="0"/>
                <w:sz w:val="22"/>
              </w:rPr>
              <w:t>Week 13</w:t>
            </w:r>
          </w:p>
        </w:tc>
      </w:tr>
      <w:tr>
        <w:trPr>
          <w:cantSplit/>
        </w:trPr>
        <w:tc>
          <w:tcPr>
            <w:tcW w:type="dxa" w:w="5760"/>
          </w:tcPr>
          <w:p>
            <w:pPr>
              <w:spacing w:before="0" w:after="0"/>
              <w:jc w:val="left"/>
            </w:pPr>
            <w:r>
              <w:rPr>
                <w:rFonts w:ascii="Times New Roman" w:hAnsi="Times New Roman" w:cs="Times New Roman" w:eastAsia="Times New Roman"/>
                <w:b w:val="0"/>
                <w:i w:val="0"/>
                <w:sz w:val="22"/>
              </w:rPr>
              <w:t>D9 Status report to the COR and OCFO sponsors</w:t>
            </w:r>
          </w:p>
        </w:tc>
        <w:tc>
          <w:tcPr>
            <w:tcW w:type="dxa" w:w="1400"/>
          </w:tcPr>
          <w:p>
            <w:pPr>
              <w:spacing w:before="0" w:after="0"/>
              <w:jc w:val="center"/>
            </w:pPr>
            <w:r>
              <w:rPr>
                <w:rFonts w:ascii="Times New Roman" w:hAnsi="Times New Roman" w:cs="Times New Roman" w:eastAsia="Times New Roman"/>
                <w:b w:val="0"/>
                <w:i w:val="0"/>
                <w:sz w:val="22"/>
              </w:rPr>
              <w:t>1 to 3</w:t>
            </w:r>
          </w:p>
        </w:tc>
        <w:tc>
          <w:tcPr>
            <w:tcW w:type="dxa" w:w="2200"/>
          </w:tcPr>
          <w:p>
            <w:pPr>
              <w:spacing w:before="0" w:after="0"/>
              <w:jc w:val="left"/>
            </w:pPr>
            <w:r>
              <w:rPr>
                <w:rFonts w:ascii="Times New Roman" w:hAnsi="Times New Roman" w:cs="Times New Roman" w:eastAsia="Times New Roman"/>
                <w:b w:val="0"/>
                <w:i w:val="0"/>
                <w:sz w:val="22"/>
              </w:rPr>
              <w:t>Every two weeks from Week 2</w:t>
            </w:r>
          </w:p>
        </w:tc>
      </w:tr>
    </w:tbl>
    <w:p>
      <w:pPr>
        <w:spacing w:after="80"/>
      </w:pPr>
    </w:p>
    <w:p>
      <w:pPr>
        <w:pStyle w:val="Heading1"/>
      </w:pPr>
      <w:r>
        <w:rPr>
          <w:rFonts w:ascii="Times New Roman" w:hAnsi="Times New Roman" w:cs="Times New Roman" w:eastAsia="Times New Roman"/>
          <w:b/>
          <w:i w:val="0"/>
          <w:sz w:val="32"/>
        </w:rPr>
        <w:t>8.0</w:t>
        <w:tab/>
        <w:t>Contracting with Guidehouse</w:t>
      </w:r>
    </w:p>
    <w:p>
      <w:pPr>
        <w:keepNext w:val="0"/>
        <w:spacing w:after="120"/>
      </w:pPr>
      <w:r>
        <w:rPr>
          <w:rFonts w:ascii="Times New Roman" w:hAnsi="Times New Roman" w:cs="Times New Roman" w:eastAsia="Times New Roman"/>
          <w:b w:val="0"/>
          <w:i w:val="0"/>
          <w:sz w:val="24"/>
        </w:rPr>
        <w:t>Guidehouse recommends that ICE acquire this capability through a new sole-source Small Business Innovation Research (SBIR) Phase III award. Guidehouse holds a Phase I SBIR award on the topic “Software Solution To Extract Key Information From Big Data” (topic AFRL-RQ-WP-TR-2023-0027, contract FA8650-22-F-2335), sponsored by the Air Force Research Laboratory. Under 15 U.S.C. § 638, an agency may make a Phase III award on a sole-source basis for work that derives from, extends or completes an earlier SBIR effort, which Section 2.0 describes. A Phase III award needs no further competition, typically shortens the time to award from months to weeks, and is funded from OCFO’s own appropriations rather than SBIR funds. Guidehouse will support ICE’s contracting office with the statement of work and supporting material drawn from this document.</w:t>
      </w:r>
    </w:p>
    <w:p>
      <w:pPr>
        <w:keepNext w:val="0"/>
        <w:spacing w:after="120"/>
      </w:pPr>
      <w:r>
        <w:rPr>
          <w:rFonts w:ascii="Times New Roman" w:hAnsi="Times New Roman" w:cs="Times New Roman" w:eastAsia="Times New Roman"/>
          <w:b w:val="0"/>
          <w:i w:val="0"/>
          <w:sz w:val="24"/>
        </w:rPr>
        <w:t>Guidehouse recommends that the award take the form of an indefinite-delivery, indefinite-quantity (IDIQ) contract with the rate card in Section 9.0, an ordering period and ceiling that ICE’s contracting office sets, and a first task order for Task Areas 1 to 3, so that the contract and the first work go through in one package. The pilot and production then follow as further task orders, each issued only when OCFO approves it, with no new vehicle. Guidehouse recommends time and materials (T&amp;M) task orders.</w:t>
      </w:r>
    </w:p>
    <w:p>
      <w:pPr>
        <w:pStyle w:val="Heading1"/>
      </w:pPr>
      <w:r>
        <w:rPr>
          <w:rFonts w:ascii="Times New Roman" w:hAnsi="Times New Roman" w:cs="Times New Roman" w:eastAsia="Times New Roman"/>
          <w:b/>
          <w:i w:val="0"/>
          <w:sz w:val="32"/>
        </w:rPr>
        <w:t>9.0</w:t>
        <w:tab/>
        <w:t>Rate Card and Sample Task Orders</w:t>
      </w:r>
    </w:p>
    <w:p>
      <w:pPr>
        <w:keepNext w:val="0"/>
        <w:spacing w:after="120"/>
      </w:pPr>
      <w:r>
        <w:rPr>
          <w:rFonts w:ascii="Times New Roman" w:hAnsi="Times New Roman" w:cs="Times New Roman" w:eastAsia="Times New Roman"/>
          <w:b w:val="0"/>
          <w:i w:val="0"/>
          <w:sz w:val="24"/>
        </w:rPr>
        <w:t>The estimate takes the form Section 8.0 recommends: proposed hourly rates by contract year, escalating in Years 2 and 3, and sample time and materials (T&amp;M) task orders at Year 1 rates and base durations. Work that runs past Year 1 is billed at Year 2 rates. No other direct costs are included.</w:t>
      </w:r>
    </w:p>
    <w:p>
      <w:pPr>
        <w:pStyle w:val="Heading2"/>
      </w:pPr>
      <w:r>
        <w:rPr>
          <w:rFonts w:ascii="Times New Roman" w:hAnsi="Times New Roman" w:cs="Times New Roman" w:eastAsia="Times New Roman"/>
          <w:b/>
          <w:i/>
          <w:sz w:val="28"/>
        </w:rPr>
        <w:t>9.1</w:t>
        <w:tab/>
        <w:t>Rate Card</w:t>
      </w:r>
    </w:p>
    <w:tbl>
      <w:tblPr>
        <w:tblStyle w:val="TableGrid"/>
        <w:tblW w:type="dxa" w:w="9360"/>
        <w:jc w:val="center"/>
        <w:tblLayout w:type="fixed"/>
        <w:tblLook w:firstColumn="1" w:firstRow="1" w:lastColumn="0" w:lastRow="0" w:noHBand="0" w:noVBand="1" w:val="04A0"/>
        <w:tblCellMar>
          <w:top w:w="40" w:type="dxa"/>
          <w:left w:w="60" w:type="dxa"/>
          <w:bottom w:w="40" w:type="dxa"/>
          <w:right w:w="60" w:type="dxa"/>
        </w:tblCellMa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000"/>
        <w:gridCol w:w="4120"/>
        <w:gridCol w:w="1080"/>
        <w:gridCol w:w="1080"/>
        <w:gridCol w:w="1080"/>
      </w:tblGrid>
      <w:tr>
        <w:trPr>
          <w:tblHeader/>
          <w:cantSplit/>
        </w:trPr>
        <w:tc>
          <w:tcPr>
            <w:tcW w:type="dxa" w:w="2000"/>
            <w:shd w:val="clear" w:color="auto" w:fill="2F5D27"/>
          </w:tcPr>
          <w:p>
            <w:pPr>
              <w:keepNext/>
              <w:spacing w:before="0" w:after="0"/>
              <w:jc w:val="left"/>
            </w:pPr>
            <w:r>
              <w:rPr>
                <w:rFonts w:ascii="Times New Roman" w:hAnsi="Times New Roman" w:cs="Times New Roman" w:eastAsia="Times New Roman"/>
                <w:b/>
                <w:i w:val="0"/>
                <w:color w:val="FFFFFF"/>
                <w:sz w:val="20"/>
              </w:rPr>
              <w:t>Position Description</w:t>
            </w:r>
          </w:p>
        </w:tc>
        <w:tc>
          <w:tcPr>
            <w:tcW w:type="dxa" w:w="4120"/>
            <w:shd w:val="clear" w:color="auto" w:fill="2F5D27"/>
          </w:tcPr>
          <w:p>
            <w:pPr>
              <w:keepNext/>
              <w:spacing w:before="0" w:after="0"/>
              <w:jc w:val="left"/>
            </w:pPr>
            <w:r>
              <w:rPr>
                <w:rFonts w:ascii="Times New Roman" w:hAnsi="Times New Roman" w:cs="Times New Roman" w:eastAsia="Times New Roman"/>
                <w:b/>
                <w:i w:val="0"/>
                <w:color w:val="FFFFFF"/>
                <w:sz w:val="20"/>
              </w:rPr>
              <w:t>Description and Minimum Experience</w:t>
            </w:r>
          </w:p>
        </w:tc>
        <w:tc>
          <w:tcPr>
            <w:tcW w:type="dxa" w:w="1080"/>
            <w:shd w:val="clear" w:color="auto" w:fill="2F5D27"/>
          </w:tcPr>
          <w:p>
            <w:pPr>
              <w:keepNext/>
              <w:spacing w:before="0" w:after="0"/>
              <w:jc w:val="right"/>
            </w:pPr>
            <w:r>
              <w:rPr>
                <w:rFonts w:ascii="Times New Roman" w:hAnsi="Times New Roman" w:cs="Times New Roman" w:eastAsia="Times New Roman"/>
                <w:b/>
                <w:i w:val="0"/>
                <w:color w:val="FFFFFF"/>
                <w:sz w:val="20"/>
              </w:rPr>
              <w:t>Year 1</w:t>
            </w:r>
          </w:p>
        </w:tc>
        <w:tc>
          <w:tcPr>
            <w:tcW w:type="dxa" w:w="1080"/>
            <w:shd w:val="clear" w:color="auto" w:fill="2F5D27"/>
          </w:tcPr>
          <w:p>
            <w:pPr>
              <w:keepNext/>
              <w:spacing w:before="0" w:after="0"/>
              <w:jc w:val="right"/>
            </w:pPr>
            <w:r>
              <w:rPr>
                <w:rFonts w:ascii="Times New Roman" w:hAnsi="Times New Roman" w:cs="Times New Roman" w:eastAsia="Times New Roman"/>
                <w:b/>
                <w:i w:val="0"/>
                <w:color w:val="FFFFFF"/>
                <w:sz w:val="20"/>
              </w:rPr>
              <w:t>Year 2</w:t>
            </w:r>
          </w:p>
        </w:tc>
        <w:tc>
          <w:tcPr>
            <w:tcW w:type="dxa" w:w="1080"/>
            <w:shd w:val="clear" w:color="auto" w:fill="2F5D27"/>
          </w:tcPr>
          <w:p>
            <w:pPr>
              <w:keepNext/>
              <w:spacing w:before="0" w:after="0"/>
              <w:jc w:val="right"/>
            </w:pPr>
            <w:r>
              <w:rPr>
                <w:rFonts w:ascii="Times New Roman" w:hAnsi="Times New Roman" w:cs="Times New Roman" w:eastAsia="Times New Roman"/>
                <w:b/>
                <w:i w:val="0"/>
                <w:color w:val="FFFFFF"/>
                <w:sz w:val="20"/>
              </w:rPr>
              <w:t>Year 3</w:t>
            </w:r>
          </w:p>
        </w:tc>
      </w:tr>
      <w:tr>
        <w:trPr>
          <w:cantSplit/>
        </w:trPr>
        <w:tc>
          <w:tcPr>
            <w:tcW w:type="dxa" w:w="2000"/>
          </w:tcPr>
          <w:p>
            <w:pPr>
              <w:keepNext/>
              <w:spacing w:before="0" w:after="0"/>
              <w:jc w:val="left"/>
            </w:pPr>
            <w:r>
              <w:rPr>
                <w:rFonts w:ascii="Times New Roman" w:hAnsi="Times New Roman" w:cs="Times New Roman" w:eastAsia="Times New Roman"/>
                <w:b w:val="0"/>
                <w:i w:val="0"/>
                <w:sz w:val="22"/>
              </w:rPr>
              <w:t>Director</w:t>
            </w:r>
          </w:p>
        </w:tc>
        <w:tc>
          <w:tcPr>
            <w:tcW w:type="dxa" w:w="4120"/>
          </w:tcPr>
          <w:p>
            <w:pPr>
              <w:keepNext/>
              <w:spacing w:before="0" w:after="0"/>
              <w:jc w:val="left"/>
            </w:pPr>
            <w:r>
              <w:rPr>
                <w:rFonts w:ascii="Times New Roman" w:hAnsi="Times New Roman" w:cs="Times New Roman" w:eastAsia="Times New Roman"/>
                <w:b w:val="0"/>
                <w:i w:val="0"/>
                <w:sz w:val="22"/>
              </w:rPr>
              <w:t>Leads the engagement, owns delivery and holds the gate reviews with OCFO. 10 or more years of experience.</w:t>
            </w:r>
          </w:p>
        </w:tc>
        <w:tc>
          <w:tcPr>
            <w:tcW w:type="dxa" w:w="1080"/>
          </w:tcPr>
          <w:p>
            <w:pPr>
              <w:keepNext/>
              <w:spacing w:before="0" w:after="0"/>
              <w:jc w:val="right"/>
            </w:pPr>
            <w:r>
              <w:rPr>
                <w:rFonts w:ascii="Times New Roman" w:hAnsi="Times New Roman" w:cs="Times New Roman" w:eastAsia="Times New Roman"/>
                <w:b w:val="0"/>
                <w:i w:val="0"/>
                <w:sz w:val="22"/>
              </w:rPr>
              <w:t>$188.20</w:t>
            </w:r>
          </w:p>
        </w:tc>
        <w:tc>
          <w:tcPr>
            <w:tcW w:type="dxa" w:w="1080"/>
          </w:tcPr>
          <w:p>
            <w:pPr>
              <w:keepNext/>
              <w:spacing w:before="0" w:after="0"/>
              <w:jc w:val="right"/>
            </w:pPr>
            <w:r>
              <w:rPr>
                <w:rFonts w:ascii="Times New Roman" w:hAnsi="Times New Roman" w:cs="Times New Roman" w:eastAsia="Times New Roman"/>
                <w:b w:val="0"/>
                <w:i w:val="0"/>
                <w:sz w:val="22"/>
              </w:rPr>
              <w:t>$193.85</w:t>
            </w:r>
          </w:p>
        </w:tc>
        <w:tc>
          <w:tcPr>
            <w:tcW w:type="dxa" w:w="1080"/>
          </w:tcPr>
          <w:p>
            <w:pPr>
              <w:keepNext/>
              <w:spacing w:before="0" w:after="0"/>
              <w:jc w:val="right"/>
            </w:pPr>
            <w:r>
              <w:rPr>
                <w:rFonts w:ascii="Times New Roman" w:hAnsi="Times New Roman" w:cs="Times New Roman" w:eastAsia="Times New Roman"/>
                <w:b w:val="0"/>
                <w:i w:val="0"/>
                <w:sz w:val="22"/>
              </w:rPr>
              <w:t>$199.67</w:t>
            </w:r>
          </w:p>
        </w:tc>
      </w:tr>
      <w:tr>
        <w:trPr>
          <w:cantSplit/>
        </w:trPr>
        <w:tc>
          <w:tcPr>
            <w:tcW w:type="dxa" w:w="2000"/>
          </w:tcPr>
          <w:p>
            <w:pPr>
              <w:keepNext/>
              <w:spacing w:before="0" w:after="0"/>
              <w:jc w:val="left"/>
            </w:pPr>
            <w:r>
              <w:rPr>
                <w:rFonts w:ascii="Times New Roman" w:hAnsi="Times New Roman" w:cs="Times New Roman" w:eastAsia="Times New Roman"/>
                <w:b w:val="0"/>
                <w:i w:val="0"/>
                <w:sz w:val="22"/>
              </w:rPr>
              <w:t>Manager - Developer</w:t>
            </w:r>
          </w:p>
        </w:tc>
        <w:tc>
          <w:tcPr>
            <w:tcW w:type="dxa" w:w="4120"/>
          </w:tcPr>
          <w:p>
            <w:pPr>
              <w:keepNext/>
              <w:spacing w:before="0" w:after="0"/>
              <w:jc w:val="left"/>
            </w:pPr>
            <w:r>
              <w:rPr>
                <w:rFonts w:ascii="Times New Roman" w:hAnsi="Times New Roman" w:cs="Times New Roman" w:eastAsia="Times New Roman"/>
                <w:b w:val="0"/>
                <w:i w:val="0"/>
                <w:sz w:val="22"/>
              </w:rPr>
              <w:t>Solution architect and technical lead: design, integration, the environment and the ISSO approval requests. 6 or more years of experience.</w:t>
            </w:r>
          </w:p>
        </w:tc>
        <w:tc>
          <w:tcPr>
            <w:tcW w:type="dxa" w:w="1080"/>
          </w:tcPr>
          <w:p>
            <w:pPr>
              <w:keepNext/>
              <w:spacing w:before="0" w:after="0"/>
              <w:jc w:val="right"/>
            </w:pPr>
            <w:r>
              <w:rPr>
                <w:rFonts w:ascii="Times New Roman" w:hAnsi="Times New Roman" w:cs="Times New Roman" w:eastAsia="Times New Roman"/>
                <w:b w:val="0"/>
                <w:i w:val="0"/>
                <w:sz w:val="22"/>
              </w:rPr>
              <w:t>$194.37</w:t>
            </w:r>
          </w:p>
        </w:tc>
        <w:tc>
          <w:tcPr>
            <w:tcW w:type="dxa" w:w="1080"/>
          </w:tcPr>
          <w:p>
            <w:pPr>
              <w:keepNext/>
              <w:spacing w:before="0" w:after="0"/>
              <w:jc w:val="right"/>
            </w:pPr>
            <w:r>
              <w:rPr>
                <w:rFonts w:ascii="Times New Roman" w:hAnsi="Times New Roman" w:cs="Times New Roman" w:eastAsia="Times New Roman"/>
                <w:b w:val="0"/>
                <w:i w:val="0"/>
                <w:sz w:val="22"/>
              </w:rPr>
              <w:t>$200.20</w:t>
            </w:r>
          </w:p>
        </w:tc>
        <w:tc>
          <w:tcPr>
            <w:tcW w:type="dxa" w:w="1080"/>
          </w:tcPr>
          <w:p>
            <w:pPr>
              <w:keepNext/>
              <w:spacing w:before="0" w:after="0"/>
              <w:jc w:val="right"/>
            </w:pPr>
            <w:r>
              <w:rPr>
                <w:rFonts w:ascii="Times New Roman" w:hAnsi="Times New Roman" w:cs="Times New Roman" w:eastAsia="Times New Roman"/>
                <w:b w:val="0"/>
                <w:i w:val="0"/>
                <w:sz w:val="22"/>
              </w:rPr>
              <w:t>$206.21</w:t>
            </w:r>
          </w:p>
        </w:tc>
      </w:tr>
      <w:tr>
        <w:trPr>
          <w:cantSplit/>
        </w:trPr>
        <w:tc>
          <w:tcPr>
            <w:tcW w:type="dxa" w:w="2000"/>
          </w:tcPr>
          <w:p>
            <w:pPr>
              <w:keepNext/>
              <w:spacing w:before="0" w:after="0"/>
              <w:jc w:val="left"/>
            </w:pPr>
            <w:r>
              <w:rPr>
                <w:rFonts w:ascii="Times New Roman" w:hAnsi="Times New Roman" w:cs="Times New Roman" w:eastAsia="Times New Roman"/>
                <w:b w:val="0"/>
                <w:i w:val="0"/>
                <w:sz w:val="22"/>
              </w:rPr>
              <w:t>Senior</w:t>
            </w:r>
          </w:p>
        </w:tc>
        <w:tc>
          <w:tcPr>
            <w:tcW w:type="dxa" w:w="4120"/>
          </w:tcPr>
          <w:p>
            <w:pPr>
              <w:keepNext/>
              <w:spacing w:before="0" w:after="0"/>
              <w:jc w:val="left"/>
            </w:pPr>
            <w:r>
              <w:rPr>
                <w:rFonts w:ascii="Times New Roman" w:hAnsi="Times New Roman" w:cs="Times New Roman" w:eastAsia="Times New Roman"/>
                <w:b w:val="0"/>
                <w:i w:val="0"/>
                <w:sz w:val="22"/>
              </w:rPr>
              <w:t>Business analysis, accounts payable process, change management and training. 4 or more years of experience.</w:t>
            </w:r>
          </w:p>
        </w:tc>
        <w:tc>
          <w:tcPr>
            <w:tcW w:type="dxa" w:w="1080"/>
          </w:tcPr>
          <w:p>
            <w:pPr>
              <w:keepNext/>
              <w:spacing w:before="0" w:after="0"/>
              <w:jc w:val="right"/>
            </w:pPr>
            <w:r>
              <w:rPr>
                <w:rFonts w:ascii="Times New Roman" w:hAnsi="Times New Roman" w:cs="Times New Roman" w:eastAsia="Times New Roman"/>
                <w:b w:val="0"/>
                <w:i w:val="0"/>
                <w:sz w:val="22"/>
              </w:rPr>
              <w:t>$117.65</w:t>
            </w:r>
          </w:p>
        </w:tc>
        <w:tc>
          <w:tcPr>
            <w:tcW w:type="dxa" w:w="1080"/>
          </w:tcPr>
          <w:p>
            <w:pPr>
              <w:keepNext/>
              <w:spacing w:before="0" w:after="0"/>
              <w:jc w:val="right"/>
            </w:pPr>
            <w:r>
              <w:rPr>
                <w:rFonts w:ascii="Times New Roman" w:hAnsi="Times New Roman" w:cs="Times New Roman" w:eastAsia="Times New Roman"/>
                <w:b w:val="0"/>
                <w:i w:val="0"/>
                <w:sz w:val="22"/>
              </w:rPr>
              <w:t>$121.18</w:t>
            </w:r>
          </w:p>
        </w:tc>
        <w:tc>
          <w:tcPr>
            <w:tcW w:type="dxa" w:w="1080"/>
          </w:tcPr>
          <w:p>
            <w:pPr>
              <w:keepNext/>
              <w:spacing w:before="0" w:after="0"/>
              <w:jc w:val="right"/>
            </w:pPr>
            <w:r>
              <w:rPr>
                <w:rFonts w:ascii="Times New Roman" w:hAnsi="Times New Roman" w:cs="Times New Roman" w:eastAsia="Times New Roman"/>
                <w:b w:val="0"/>
                <w:i w:val="0"/>
                <w:sz w:val="22"/>
              </w:rPr>
              <w:t>$124.82</w:t>
            </w:r>
          </w:p>
        </w:tc>
      </w:tr>
      <w:tr>
        <w:trPr>
          <w:cantSplit/>
        </w:trPr>
        <w:tc>
          <w:tcPr>
            <w:tcW w:type="dxa" w:w="2000"/>
          </w:tcPr>
          <w:p>
            <w:pPr>
              <w:spacing w:before="0" w:after="0"/>
              <w:jc w:val="left"/>
            </w:pPr>
            <w:r>
              <w:rPr>
                <w:rFonts w:ascii="Times New Roman" w:hAnsi="Times New Roman" w:cs="Times New Roman" w:eastAsia="Times New Roman"/>
                <w:b w:val="0"/>
                <w:i w:val="0"/>
                <w:sz w:val="22"/>
              </w:rPr>
              <w:t>Senior - Developer</w:t>
            </w:r>
          </w:p>
        </w:tc>
        <w:tc>
          <w:tcPr>
            <w:tcW w:type="dxa" w:w="4120"/>
          </w:tcPr>
          <w:p>
            <w:pPr>
              <w:spacing w:before="0" w:after="0"/>
              <w:jc w:val="left"/>
            </w:pPr>
            <w:r>
              <w:rPr>
                <w:rFonts w:ascii="Times New Roman" w:hAnsi="Times New Roman" w:cs="Times New Roman" w:eastAsia="Times New Roman"/>
                <w:b w:val="0"/>
                <w:i w:val="0"/>
                <w:sz w:val="22"/>
              </w:rPr>
              <w:t>Software, data and AI/ML development, testing and quality. 5 or more years of experience.</w:t>
            </w:r>
          </w:p>
        </w:tc>
        <w:tc>
          <w:tcPr>
            <w:tcW w:type="dxa" w:w="1080"/>
          </w:tcPr>
          <w:p>
            <w:pPr>
              <w:spacing w:before="0" w:after="0"/>
              <w:jc w:val="right"/>
            </w:pPr>
            <w:r>
              <w:rPr>
                <w:rFonts w:ascii="Times New Roman" w:hAnsi="Times New Roman" w:cs="Times New Roman" w:eastAsia="Times New Roman"/>
                <w:b w:val="0"/>
                <w:i w:val="0"/>
                <w:sz w:val="22"/>
              </w:rPr>
              <w:t>$145.26</w:t>
            </w:r>
          </w:p>
        </w:tc>
        <w:tc>
          <w:tcPr>
            <w:tcW w:type="dxa" w:w="1080"/>
          </w:tcPr>
          <w:p>
            <w:pPr>
              <w:spacing w:before="0" w:after="0"/>
              <w:jc w:val="right"/>
            </w:pPr>
            <w:r>
              <w:rPr>
                <w:rFonts w:ascii="Times New Roman" w:hAnsi="Times New Roman" w:cs="Times New Roman" w:eastAsia="Times New Roman"/>
                <w:b w:val="0"/>
                <w:i w:val="0"/>
                <w:sz w:val="22"/>
              </w:rPr>
              <w:t>$149.62</w:t>
            </w:r>
          </w:p>
        </w:tc>
        <w:tc>
          <w:tcPr>
            <w:tcW w:type="dxa" w:w="1080"/>
          </w:tcPr>
          <w:p>
            <w:pPr>
              <w:spacing w:before="0" w:after="0"/>
              <w:jc w:val="right"/>
            </w:pPr>
            <w:r>
              <w:rPr>
                <w:rFonts w:ascii="Times New Roman" w:hAnsi="Times New Roman" w:cs="Times New Roman" w:eastAsia="Times New Roman"/>
                <w:b w:val="0"/>
                <w:i w:val="0"/>
                <w:sz w:val="22"/>
              </w:rPr>
              <w:t>$154.11</w:t>
            </w:r>
          </w:p>
        </w:tc>
      </w:tr>
    </w:tbl>
    <w:p>
      <w:pPr>
        <w:spacing w:after="80"/>
      </w:pPr>
    </w:p>
    <w:p>
      <w:pPr>
        <w:pStyle w:val="Heading2"/>
      </w:pPr>
      <w:r>
        <w:rPr>
          <w:rFonts w:ascii="Times New Roman" w:hAnsi="Times New Roman" w:cs="Times New Roman" w:eastAsia="Times New Roman"/>
          <w:b/>
          <w:i/>
          <w:sz w:val="28"/>
        </w:rPr>
        <w:t>9.2</w:t>
        <w:tab/>
        <w:t>Sample Task Order 1: Discovery, Prototype Build and Evaluation</w:t>
      </w:r>
    </w:p>
    <w:p>
      <w:pPr>
        <w:keepNext/>
        <w:spacing w:after="120"/>
      </w:pPr>
      <w:r>
        <w:rPr>
          <w:rFonts w:ascii="Times New Roman" w:hAnsi="Times New Roman" w:cs="Times New Roman" w:eastAsia="Times New Roman"/>
          <w:b w:val="0"/>
          <w:i w:val="0"/>
          <w:sz w:val="24"/>
        </w:rPr>
        <w:t>Task Order 1 is awarded with the IDIQ contract and covers Task Areas 1 to 3: 1,640 hours and $248,049.70 over 13 weeks on the base schedule (10 to 16 weeks). By task area: Task Area 1, $70,789.60; Task Area 2, $125,518.20; Task Area 3, $51,741.90.</w:t>
      </w:r>
    </w:p>
    <w:tbl>
      <w:tblPr>
        <w:tblStyle w:val="TableGrid"/>
        <w:tblW w:type="dxa" w:w="9360"/>
        <w:jc w:val="center"/>
        <w:tblLayout w:type="fixed"/>
        <w:tblLook w:firstColumn="1" w:firstRow="1" w:lastColumn="0" w:lastRow="0" w:noHBand="0" w:noVBand="1" w:val="04A0"/>
        <w:tblCellMar>
          <w:top w:w="40" w:type="dxa"/>
          <w:left w:w="60" w:type="dxa"/>
          <w:bottom w:w="40" w:type="dxa"/>
          <w:right w:w="60" w:type="dxa"/>
        </w:tblCellMa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900"/>
        <w:gridCol w:w="1060"/>
        <w:gridCol w:w="1000"/>
        <w:gridCol w:w="1000"/>
        <w:gridCol w:w="1000"/>
        <w:gridCol w:w="900"/>
        <w:gridCol w:w="1500"/>
      </w:tblGrid>
      <w:tr>
        <w:trPr>
          <w:tblHeader/>
          <w:cantSplit/>
        </w:trPr>
        <w:tc>
          <w:tcPr>
            <w:tcW w:type="dxa" w:w="2900"/>
            <w:shd w:val="clear" w:color="auto" w:fill="2F5D27"/>
          </w:tcPr>
          <w:p>
            <w:pPr>
              <w:keepNext/>
              <w:spacing w:before="0" w:after="0"/>
              <w:jc w:val="left"/>
            </w:pPr>
            <w:r>
              <w:rPr>
                <w:rFonts w:ascii="Times New Roman" w:hAnsi="Times New Roman" w:cs="Times New Roman" w:eastAsia="Times New Roman"/>
                <w:b/>
                <w:i w:val="0"/>
                <w:color w:val="FFFFFF"/>
                <w:sz w:val="20"/>
              </w:rPr>
              <w:t>Position Description</w:t>
            </w:r>
          </w:p>
        </w:tc>
        <w:tc>
          <w:tcPr>
            <w:tcW w:type="dxa" w:w="1060"/>
            <w:shd w:val="clear" w:color="auto" w:fill="2F5D27"/>
          </w:tcPr>
          <w:p>
            <w:pPr>
              <w:keepNext/>
              <w:spacing w:before="0" w:after="0"/>
              <w:jc w:val="right"/>
            </w:pPr>
            <w:r>
              <w:rPr>
                <w:rFonts w:ascii="Times New Roman" w:hAnsi="Times New Roman" w:cs="Times New Roman" w:eastAsia="Times New Roman"/>
                <w:b/>
                <w:i w:val="0"/>
                <w:color w:val="FFFFFF"/>
                <w:sz w:val="20"/>
              </w:rPr>
              <w:t>Rate</w:t>
            </w:r>
          </w:p>
        </w:tc>
        <w:tc>
          <w:tcPr>
            <w:tcW w:type="dxa" w:w="1000"/>
            <w:shd w:val="clear" w:color="auto" w:fill="2F5D27"/>
          </w:tcPr>
          <w:p>
            <w:pPr>
              <w:keepNext/>
              <w:spacing w:before="0" w:after="0"/>
              <w:jc w:val="right"/>
            </w:pPr>
            <w:r>
              <w:rPr>
                <w:rFonts w:ascii="Times New Roman" w:hAnsi="Times New Roman" w:cs="Times New Roman" w:eastAsia="Times New Roman"/>
                <w:b/>
                <w:i w:val="0"/>
                <w:color w:val="FFFFFF"/>
                <w:sz w:val="20"/>
              </w:rPr>
              <w:t>Task Area 1 Hours</w:t>
            </w:r>
          </w:p>
        </w:tc>
        <w:tc>
          <w:tcPr>
            <w:tcW w:type="dxa" w:w="1000"/>
            <w:shd w:val="clear" w:color="auto" w:fill="2F5D27"/>
          </w:tcPr>
          <w:p>
            <w:pPr>
              <w:keepNext/>
              <w:spacing w:before="0" w:after="0"/>
              <w:jc w:val="right"/>
            </w:pPr>
            <w:r>
              <w:rPr>
                <w:rFonts w:ascii="Times New Roman" w:hAnsi="Times New Roman" w:cs="Times New Roman" w:eastAsia="Times New Roman"/>
                <w:b/>
                <w:i w:val="0"/>
                <w:color w:val="FFFFFF"/>
                <w:sz w:val="20"/>
              </w:rPr>
              <w:t>Task Area 2 Hours</w:t>
            </w:r>
          </w:p>
        </w:tc>
        <w:tc>
          <w:tcPr>
            <w:tcW w:type="dxa" w:w="1000"/>
            <w:shd w:val="clear" w:color="auto" w:fill="2F5D27"/>
          </w:tcPr>
          <w:p>
            <w:pPr>
              <w:keepNext/>
              <w:spacing w:before="0" w:after="0"/>
              <w:jc w:val="right"/>
            </w:pPr>
            <w:r>
              <w:rPr>
                <w:rFonts w:ascii="Times New Roman" w:hAnsi="Times New Roman" w:cs="Times New Roman" w:eastAsia="Times New Roman"/>
                <w:b/>
                <w:i w:val="0"/>
                <w:color w:val="FFFFFF"/>
                <w:sz w:val="20"/>
              </w:rPr>
              <w:t>Task Area 3 Hours</w:t>
            </w:r>
          </w:p>
        </w:tc>
        <w:tc>
          <w:tcPr>
            <w:tcW w:type="dxa" w:w="900"/>
            <w:shd w:val="clear" w:color="auto" w:fill="2F5D27"/>
          </w:tcPr>
          <w:p>
            <w:pPr>
              <w:keepNext/>
              <w:spacing w:before="0" w:after="0"/>
              <w:jc w:val="right"/>
            </w:pPr>
            <w:r>
              <w:rPr>
                <w:rFonts w:ascii="Times New Roman" w:hAnsi="Times New Roman" w:cs="Times New Roman" w:eastAsia="Times New Roman"/>
                <w:b/>
                <w:i w:val="0"/>
                <w:color w:val="FFFFFF"/>
                <w:sz w:val="20"/>
              </w:rPr>
              <w:t>Hours</w:t>
            </w:r>
          </w:p>
        </w:tc>
        <w:tc>
          <w:tcPr>
            <w:tcW w:type="dxa" w:w="1500"/>
            <w:shd w:val="clear" w:color="auto" w:fill="2F5D27"/>
          </w:tcPr>
          <w:p>
            <w:pPr>
              <w:keepNext/>
              <w:spacing w:before="0" w:after="0"/>
              <w:jc w:val="right"/>
            </w:pPr>
            <w:r>
              <w:rPr>
                <w:rFonts w:ascii="Times New Roman" w:hAnsi="Times New Roman" w:cs="Times New Roman" w:eastAsia="Times New Roman"/>
                <w:b/>
                <w:i w:val="0"/>
                <w:color w:val="FFFFFF"/>
                <w:sz w:val="20"/>
              </w:rPr>
              <w:t>Execution</w:t>
            </w:r>
          </w:p>
        </w:tc>
      </w:tr>
      <w:tr>
        <w:trPr>
          <w:cantSplit/>
        </w:trPr>
        <w:tc>
          <w:tcPr>
            <w:tcW w:type="dxa" w:w="2900"/>
          </w:tcPr>
          <w:p>
            <w:pPr>
              <w:keepNext/>
              <w:spacing w:before="0" w:after="0"/>
              <w:jc w:val="left"/>
            </w:pPr>
            <w:r>
              <w:rPr>
                <w:rFonts w:ascii="Times New Roman" w:hAnsi="Times New Roman" w:cs="Times New Roman" w:eastAsia="Times New Roman"/>
                <w:b w:val="0"/>
                <w:i w:val="0"/>
                <w:sz w:val="20"/>
              </w:rPr>
              <w:t>Director (Engagement Lead)</w:t>
            </w:r>
          </w:p>
        </w:tc>
        <w:tc>
          <w:tcPr>
            <w:tcW w:type="dxa" w:w="1060"/>
          </w:tcPr>
          <w:p>
            <w:pPr>
              <w:keepNext/>
              <w:spacing w:before="0" w:after="0"/>
              <w:jc w:val="right"/>
            </w:pPr>
            <w:r>
              <w:rPr>
                <w:rFonts w:ascii="Times New Roman" w:hAnsi="Times New Roman" w:cs="Times New Roman" w:eastAsia="Times New Roman"/>
                <w:b w:val="0"/>
                <w:i w:val="0"/>
                <w:sz w:val="20"/>
              </w:rPr>
              <w:t>$188.20</w:t>
            </w:r>
          </w:p>
        </w:tc>
        <w:tc>
          <w:tcPr>
            <w:tcW w:type="dxa" w:w="1000"/>
          </w:tcPr>
          <w:p>
            <w:pPr>
              <w:keepNext/>
              <w:spacing w:before="0" w:after="0"/>
              <w:jc w:val="right"/>
            </w:pPr>
            <w:r>
              <w:rPr>
                <w:rFonts w:ascii="Times New Roman" w:hAnsi="Times New Roman" w:cs="Times New Roman" w:eastAsia="Times New Roman"/>
                <w:b w:val="0"/>
                <w:i w:val="0"/>
                <w:sz w:val="20"/>
              </w:rPr>
              <w:t>80</w:t>
            </w:r>
          </w:p>
        </w:tc>
        <w:tc>
          <w:tcPr>
            <w:tcW w:type="dxa" w:w="1000"/>
          </w:tcPr>
          <w:p>
            <w:pPr>
              <w:keepNext/>
              <w:spacing w:before="0" w:after="0"/>
              <w:jc w:val="right"/>
            </w:pPr>
            <w:r>
              <w:rPr>
                <w:rFonts w:ascii="Times New Roman" w:hAnsi="Times New Roman" w:cs="Times New Roman" w:eastAsia="Times New Roman"/>
                <w:b w:val="0"/>
                <w:i w:val="0"/>
                <w:sz w:val="20"/>
              </w:rPr>
              <w:t>60</w:t>
            </w:r>
          </w:p>
        </w:tc>
        <w:tc>
          <w:tcPr>
            <w:tcW w:type="dxa" w:w="1000"/>
          </w:tcPr>
          <w:p>
            <w:pPr>
              <w:keepNext/>
              <w:spacing w:before="0" w:after="0"/>
              <w:jc w:val="right"/>
            </w:pPr>
            <w:r>
              <w:rPr>
                <w:rFonts w:ascii="Times New Roman" w:hAnsi="Times New Roman" w:cs="Times New Roman" w:eastAsia="Times New Roman"/>
                <w:b w:val="0"/>
                <w:i w:val="0"/>
                <w:sz w:val="20"/>
              </w:rPr>
              <w:t>30</w:t>
            </w:r>
          </w:p>
        </w:tc>
        <w:tc>
          <w:tcPr>
            <w:tcW w:type="dxa" w:w="900"/>
          </w:tcPr>
          <w:p>
            <w:pPr>
              <w:keepNext/>
              <w:spacing w:before="0" w:after="0"/>
              <w:jc w:val="right"/>
            </w:pPr>
            <w:r>
              <w:rPr>
                <w:rFonts w:ascii="Times New Roman" w:hAnsi="Times New Roman" w:cs="Times New Roman" w:eastAsia="Times New Roman"/>
                <w:b w:val="0"/>
                <w:i w:val="0"/>
                <w:sz w:val="20"/>
              </w:rPr>
              <w:t>170</w:t>
            </w:r>
          </w:p>
        </w:tc>
        <w:tc>
          <w:tcPr>
            <w:tcW w:type="dxa" w:w="1500"/>
          </w:tcPr>
          <w:p>
            <w:pPr>
              <w:keepNext/>
              <w:spacing w:before="0" w:after="0"/>
              <w:jc w:val="right"/>
            </w:pPr>
            <w:r>
              <w:rPr>
                <w:rFonts w:ascii="Times New Roman" w:hAnsi="Times New Roman" w:cs="Times New Roman" w:eastAsia="Times New Roman"/>
                <w:b w:val="0"/>
                <w:i w:val="0"/>
                <w:sz w:val="20"/>
              </w:rPr>
              <w:t>$31,994.00</w:t>
            </w:r>
          </w:p>
        </w:tc>
      </w:tr>
      <w:tr>
        <w:trPr>
          <w:cantSplit/>
        </w:trPr>
        <w:tc>
          <w:tcPr>
            <w:tcW w:type="dxa" w:w="2900"/>
          </w:tcPr>
          <w:p>
            <w:pPr>
              <w:keepNext/>
              <w:spacing w:before="0" w:after="0"/>
              <w:jc w:val="left"/>
            </w:pPr>
            <w:r>
              <w:rPr>
                <w:rFonts w:ascii="Times New Roman" w:hAnsi="Times New Roman" w:cs="Times New Roman" w:eastAsia="Times New Roman"/>
                <w:b w:val="0"/>
                <w:i w:val="0"/>
                <w:sz w:val="20"/>
              </w:rPr>
              <w:t>Manager - Developer (Solution Architect)</w:t>
            </w:r>
          </w:p>
        </w:tc>
        <w:tc>
          <w:tcPr>
            <w:tcW w:type="dxa" w:w="1060"/>
          </w:tcPr>
          <w:p>
            <w:pPr>
              <w:keepNext/>
              <w:spacing w:before="0" w:after="0"/>
              <w:jc w:val="right"/>
            </w:pPr>
            <w:r>
              <w:rPr>
                <w:rFonts w:ascii="Times New Roman" w:hAnsi="Times New Roman" w:cs="Times New Roman" w:eastAsia="Times New Roman"/>
                <w:b w:val="0"/>
                <w:i w:val="0"/>
                <w:sz w:val="20"/>
              </w:rPr>
              <w:t>$194.37</w:t>
            </w:r>
          </w:p>
        </w:tc>
        <w:tc>
          <w:tcPr>
            <w:tcW w:type="dxa" w:w="1000"/>
          </w:tcPr>
          <w:p>
            <w:pPr>
              <w:keepNext/>
              <w:spacing w:before="0" w:after="0"/>
              <w:jc w:val="right"/>
            </w:pPr>
            <w:r>
              <w:rPr>
                <w:rFonts w:ascii="Times New Roman" w:hAnsi="Times New Roman" w:cs="Times New Roman" w:eastAsia="Times New Roman"/>
                <w:b w:val="0"/>
                <w:i w:val="0"/>
                <w:sz w:val="20"/>
              </w:rPr>
              <w:t>160</w:t>
            </w:r>
          </w:p>
        </w:tc>
        <w:tc>
          <w:tcPr>
            <w:tcW w:type="dxa" w:w="1000"/>
          </w:tcPr>
          <w:p>
            <w:pPr>
              <w:keepNext/>
              <w:spacing w:before="0" w:after="0"/>
              <w:jc w:val="right"/>
            </w:pPr>
            <w:r>
              <w:rPr>
                <w:rFonts w:ascii="Times New Roman" w:hAnsi="Times New Roman" w:cs="Times New Roman" w:eastAsia="Times New Roman"/>
                <w:b w:val="0"/>
                <w:i w:val="0"/>
                <w:sz w:val="20"/>
              </w:rPr>
              <w:t>120</w:t>
            </w:r>
          </w:p>
        </w:tc>
        <w:tc>
          <w:tcPr>
            <w:tcW w:type="dxa" w:w="1000"/>
          </w:tcPr>
          <w:p>
            <w:pPr>
              <w:keepNext/>
              <w:spacing w:before="0" w:after="0"/>
              <w:jc w:val="right"/>
            </w:pPr>
            <w:r>
              <w:rPr>
                <w:rFonts w:ascii="Times New Roman" w:hAnsi="Times New Roman" w:cs="Times New Roman" w:eastAsia="Times New Roman"/>
                <w:b w:val="0"/>
                <w:i w:val="0"/>
                <w:sz w:val="20"/>
              </w:rPr>
              <w:t>30</w:t>
            </w:r>
          </w:p>
        </w:tc>
        <w:tc>
          <w:tcPr>
            <w:tcW w:type="dxa" w:w="900"/>
          </w:tcPr>
          <w:p>
            <w:pPr>
              <w:keepNext/>
              <w:spacing w:before="0" w:after="0"/>
              <w:jc w:val="right"/>
            </w:pPr>
            <w:r>
              <w:rPr>
                <w:rFonts w:ascii="Times New Roman" w:hAnsi="Times New Roman" w:cs="Times New Roman" w:eastAsia="Times New Roman"/>
                <w:b w:val="0"/>
                <w:i w:val="0"/>
                <w:sz w:val="20"/>
              </w:rPr>
              <w:t>310</w:t>
            </w:r>
          </w:p>
        </w:tc>
        <w:tc>
          <w:tcPr>
            <w:tcW w:type="dxa" w:w="1500"/>
          </w:tcPr>
          <w:p>
            <w:pPr>
              <w:keepNext/>
              <w:spacing w:before="0" w:after="0"/>
              <w:jc w:val="right"/>
            </w:pPr>
            <w:r>
              <w:rPr>
                <w:rFonts w:ascii="Times New Roman" w:hAnsi="Times New Roman" w:cs="Times New Roman" w:eastAsia="Times New Roman"/>
                <w:b w:val="0"/>
                <w:i w:val="0"/>
                <w:sz w:val="20"/>
              </w:rPr>
              <w:t>$60,254.70</w:t>
            </w:r>
          </w:p>
        </w:tc>
      </w:tr>
      <w:tr>
        <w:trPr>
          <w:cantSplit/>
        </w:trPr>
        <w:tc>
          <w:tcPr>
            <w:tcW w:type="dxa" w:w="2900"/>
          </w:tcPr>
          <w:p>
            <w:pPr>
              <w:keepNext/>
              <w:spacing w:before="0" w:after="0"/>
              <w:jc w:val="left"/>
            </w:pPr>
            <w:r>
              <w:rPr>
                <w:rFonts w:ascii="Times New Roman" w:hAnsi="Times New Roman" w:cs="Times New Roman" w:eastAsia="Times New Roman"/>
                <w:b w:val="0"/>
                <w:i w:val="0"/>
                <w:sz w:val="20"/>
              </w:rPr>
              <w:t>Senior (Business Analyst and AP Process Specialist)</w:t>
            </w:r>
          </w:p>
        </w:tc>
        <w:tc>
          <w:tcPr>
            <w:tcW w:type="dxa" w:w="1060"/>
          </w:tcPr>
          <w:p>
            <w:pPr>
              <w:keepNext/>
              <w:spacing w:before="0" w:after="0"/>
              <w:jc w:val="right"/>
            </w:pPr>
            <w:r>
              <w:rPr>
                <w:rFonts w:ascii="Times New Roman" w:hAnsi="Times New Roman" w:cs="Times New Roman" w:eastAsia="Times New Roman"/>
                <w:b w:val="0"/>
                <w:i w:val="0"/>
                <w:sz w:val="20"/>
              </w:rPr>
              <w:t>$117.65</w:t>
            </w:r>
          </w:p>
        </w:tc>
        <w:tc>
          <w:tcPr>
            <w:tcW w:type="dxa" w:w="1000"/>
          </w:tcPr>
          <w:p>
            <w:pPr>
              <w:keepNext/>
              <w:spacing w:before="0" w:after="0"/>
              <w:jc w:val="right"/>
            </w:pPr>
            <w:r>
              <w:rPr>
                <w:rFonts w:ascii="Times New Roman" w:hAnsi="Times New Roman" w:cs="Times New Roman" w:eastAsia="Times New Roman"/>
                <w:b w:val="0"/>
                <w:i w:val="0"/>
                <w:sz w:val="20"/>
              </w:rPr>
              <w:t>160</w:t>
            </w:r>
          </w:p>
        </w:tc>
        <w:tc>
          <w:tcPr>
            <w:tcW w:type="dxa" w:w="1000"/>
          </w:tcPr>
          <w:p>
            <w:pPr>
              <w:keepNext/>
              <w:spacing w:before="0" w:after="0"/>
              <w:jc w:val="right"/>
            </w:pPr>
            <w:r>
              <w:rPr>
                <w:rFonts w:ascii="Times New Roman" w:hAnsi="Times New Roman" w:cs="Times New Roman" w:eastAsia="Times New Roman"/>
                <w:b w:val="0"/>
                <w:i w:val="0"/>
                <w:sz w:val="20"/>
              </w:rPr>
              <w:t>180</w:t>
            </w:r>
          </w:p>
        </w:tc>
        <w:tc>
          <w:tcPr>
            <w:tcW w:type="dxa" w:w="1000"/>
          </w:tcPr>
          <w:p>
            <w:pPr>
              <w:keepNext/>
              <w:spacing w:before="0" w:after="0"/>
              <w:jc w:val="right"/>
            </w:pPr>
            <w:r>
              <w:rPr>
                <w:rFonts w:ascii="Times New Roman" w:hAnsi="Times New Roman" w:cs="Times New Roman" w:eastAsia="Times New Roman"/>
                <w:b w:val="0"/>
                <w:i w:val="0"/>
                <w:sz w:val="20"/>
              </w:rPr>
              <w:t>120</w:t>
            </w:r>
          </w:p>
        </w:tc>
        <w:tc>
          <w:tcPr>
            <w:tcW w:type="dxa" w:w="900"/>
          </w:tcPr>
          <w:p>
            <w:pPr>
              <w:keepNext/>
              <w:spacing w:before="0" w:after="0"/>
              <w:jc w:val="right"/>
            </w:pPr>
            <w:r>
              <w:rPr>
                <w:rFonts w:ascii="Times New Roman" w:hAnsi="Times New Roman" w:cs="Times New Roman" w:eastAsia="Times New Roman"/>
                <w:b w:val="0"/>
                <w:i w:val="0"/>
                <w:sz w:val="20"/>
              </w:rPr>
              <w:t>460</w:t>
            </w:r>
          </w:p>
        </w:tc>
        <w:tc>
          <w:tcPr>
            <w:tcW w:type="dxa" w:w="1500"/>
          </w:tcPr>
          <w:p>
            <w:pPr>
              <w:keepNext/>
              <w:spacing w:before="0" w:after="0"/>
              <w:jc w:val="right"/>
            </w:pPr>
            <w:r>
              <w:rPr>
                <w:rFonts w:ascii="Times New Roman" w:hAnsi="Times New Roman" w:cs="Times New Roman" w:eastAsia="Times New Roman"/>
                <w:b w:val="0"/>
                <w:i w:val="0"/>
                <w:sz w:val="20"/>
              </w:rPr>
              <w:t>$54,119.00</w:t>
            </w:r>
          </w:p>
        </w:tc>
      </w:tr>
      <w:tr>
        <w:trPr>
          <w:cantSplit/>
        </w:trPr>
        <w:tc>
          <w:tcPr>
            <w:tcW w:type="dxa" w:w="2900"/>
          </w:tcPr>
          <w:p>
            <w:pPr>
              <w:keepNext/>
              <w:spacing w:before="0" w:after="0"/>
              <w:jc w:val="left"/>
            </w:pPr>
            <w:r>
              <w:rPr>
                <w:rFonts w:ascii="Times New Roman" w:hAnsi="Times New Roman" w:cs="Times New Roman" w:eastAsia="Times New Roman"/>
                <w:b w:val="0"/>
                <w:i w:val="0"/>
                <w:sz w:val="20"/>
              </w:rPr>
              <w:t>Senior - Developer (AI/ML)</w:t>
            </w:r>
          </w:p>
        </w:tc>
        <w:tc>
          <w:tcPr>
            <w:tcW w:type="dxa" w:w="1060"/>
          </w:tcPr>
          <w:p>
            <w:pPr>
              <w:keepNext/>
              <w:spacing w:before="0" w:after="0"/>
              <w:jc w:val="right"/>
            </w:pPr>
            <w:r>
              <w:rPr>
                <w:rFonts w:ascii="Times New Roman" w:hAnsi="Times New Roman" w:cs="Times New Roman" w:eastAsia="Times New Roman"/>
                <w:b w:val="0"/>
                <w:i w:val="0"/>
                <w:sz w:val="20"/>
              </w:rPr>
              <w:t>$145.26</w:t>
            </w:r>
          </w:p>
        </w:tc>
        <w:tc>
          <w:tcPr>
            <w:tcW w:type="dxa" w:w="1000"/>
          </w:tcPr>
          <w:p>
            <w:pPr>
              <w:keepNext/>
              <w:spacing w:before="0" w:after="0"/>
              <w:jc w:val="right"/>
            </w:pPr>
            <w:r>
              <w:rPr>
                <w:rFonts w:ascii="Times New Roman" w:hAnsi="Times New Roman" w:cs="Times New Roman" w:eastAsia="Times New Roman"/>
                <w:b w:val="0"/>
                <w:i w:val="0"/>
                <w:sz w:val="20"/>
              </w:rPr>
              <w:t>40</w:t>
            </w:r>
          </w:p>
        </w:tc>
        <w:tc>
          <w:tcPr>
            <w:tcW w:type="dxa" w:w="1000"/>
          </w:tcPr>
          <w:p>
            <w:pPr>
              <w:keepNext/>
              <w:spacing w:before="0" w:after="0"/>
              <w:jc w:val="right"/>
            </w:pPr>
            <w:r>
              <w:rPr>
                <w:rFonts w:ascii="Times New Roman" w:hAnsi="Times New Roman" w:cs="Times New Roman" w:eastAsia="Times New Roman"/>
                <w:b w:val="0"/>
                <w:i w:val="0"/>
                <w:sz w:val="20"/>
              </w:rPr>
              <w:t>240</w:t>
            </w:r>
          </w:p>
        </w:tc>
        <w:tc>
          <w:tcPr>
            <w:tcW w:type="dxa" w:w="1000"/>
          </w:tcPr>
          <w:p>
            <w:pPr>
              <w:keepNext/>
              <w:spacing w:before="0" w:after="0"/>
              <w:jc w:val="right"/>
            </w:pPr>
            <w:r>
              <w:rPr>
                <w:rFonts w:ascii="Times New Roman" w:hAnsi="Times New Roman" w:cs="Times New Roman" w:eastAsia="Times New Roman"/>
                <w:b w:val="0"/>
                <w:i w:val="0"/>
                <w:sz w:val="20"/>
              </w:rPr>
              <w:t>120</w:t>
            </w:r>
          </w:p>
        </w:tc>
        <w:tc>
          <w:tcPr>
            <w:tcW w:type="dxa" w:w="900"/>
          </w:tcPr>
          <w:p>
            <w:pPr>
              <w:keepNext/>
              <w:spacing w:before="0" w:after="0"/>
              <w:jc w:val="right"/>
            </w:pPr>
            <w:r>
              <w:rPr>
                <w:rFonts w:ascii="Times New Roman" w:hAnsi="Times New Roman" w:cs="Times New Roman" w:eastAsia="Times New Roman"/>
                <w:b w:val="0"/>
                <w:i w:val="0"/>
                <w:sz w:val="20"/>
              </w:rPr>
              <w:t>400</w:t>
            </w:r>
          </w:p>
        </w:tc>
        <w:tc>
          <w:tcPr>
            <w:tcW w:type="dxa" w:w="1500"/>
          </w:tcPr>
          <w:p>
            <w:pPr>
              <w:keepNext/>
              <w:spacing w:before="0" w:after="0"/>
              <w:jc w:val="right"/>
            </w:pPr>
            <w:r>
              <w:rPr>
                <w:rFonts w:ascii="Times New Roman" w:hAnsi="Times New Roman" w:cs="Times New Roman" w:eastAsia="Times New Roman"/>
                <w:b w:val="0"/>
                <w:i w:val="0"/>
                <w:sz w:val="20"/>
              </w:rPr>
              <w:t>$58,104.00</w:t>
            </w:r>
          </w:p>
        </w:tc>
      </w:tr>
      <w:tr>
        <w:trPr>
          <w:cantSplit/>
        </w:trPr>
        <w:tc>
          <w:tcPr>
            <w:tcW w:type="dxa" w:w="2900"/>
          </w:tcPr>
          <w:p>
            <w:pPr>
              <w:keepNext/>
              <w:spacing w:before="0" w:after="0"/>
              <w:jc w:val="left"/>
            </w:pPr>
            <w:r>
              <w:rPr>
                <w:rFonts w:ascii="Times New Roman" w:hAnsi="Times New Roman" w:cs="Times New Roman" w:eastAsia="Times New Roman"/>
                <w:b w:val="0"/>
                <w:i w:val="0"/>
                <w:sz w:val="20"/>
              </w:rPr>
              <w:t>Senior - Developer (Full Stack)</w:t>
            </w:r>
          </w:p>
        </w:tc>
        <w:tc>
          <w:tcPr>
            <w:tcW w:type="dxa" w:w="1060"/>
          </w:tcPr>
          <w:p>
            <w:pPr>
              <w:keepNext/>
              <w:spacing w:before="0" w:after="0"/>
              <w:jc w:val="right"/>
            </w:pPr>
            <w:r>
              <w:rPr>
                <w:rFonts w:ascii="Times New Roman" w:hAnsi="Times New Roman" w:cs="Times New Roman" w:eastAsia="Times New Roman"/>
                <w:b w:val="0"/>
                <w:i w:val="0"/>
                <w:sz w:val="20"/>
              </w:rPr>
              <w:t>$145.26</w:t>
            </w:r>
          </w:p>
        </w:tc>
        <w:tc>
          <w:tcPr>
            <w:tcW w:type="dxa" w:w="1000"/>
          </w:tcPr>
          <w:p>
            <w:pPr>
              <w:keepNext/>
              <w:spacing w:before="0" w:after="0"/>
              <w:jc w:val="right"/>
            </w:pPr>
            <w:r>
              <w:rPr>
                <w:rFonts w:ascii="Times New Roman" w:hAnsi="Times New Roman" w:cs="Times New Roman" w:eastAsia="Times New Roman"/>
                <w:b w:val="0"/>
                <w:i w:val="0"/>
                <w:sz w:val="20"/>
              </w:rPr>
            </w:r>
          </w:p>
        </w:tc>
        <w:tc>
          <w:tcPr>
            <w:tcW w:type="dxa" w:w="1000"/>
          </w:tcPr>
          <w:p>
            <w:pPr>
              <w:keepNext/>
              <w:spacing w:before="0" w:after="0"/>
              <w:jc w:val="right"/>
            </w:pPr>
            <w:r>
              <w:rPr>
                <w:rFonts w:ascii="Times New Roman" w:hAnsi="Times New Roman" w:cs="Times New Roman" w:eastAsia="Times New Roman"/>
                <w:b w:val="0"/>
                <w:i w:val="0"/>
                <w:sz w:val="20"/>
              </w:rPr>
              <w:t>240</w:t>
            </w:r>
          </w:p>
        </w:tc>
        <w:tc>
          <w:tcPr>
            <w:tcW w:type="dxa" w:w="1000"/>
          </w:tcPr>
          <w:p>
            <w:pPr>
              <w:keepNext/>
              <w:spacing w:before="0" w:after="0"/>
              <w:jc w:val="right"/>
            </w:pPr>
            <w:r>
              <w:rPr>
                <w:rFonts w:ascii="Times New Roman" w:hAnsi="Times New Roman" w:cs="Times New Roman" w:eastAsia="Times New Roman"/>
                <w:b w:val="0"/>
                <w:i w:val="0"/>
                <w:sz w:val="20"/>
              </w:rPr>
              <w:t>60</w:t>
            </w:r>
          </w:p>
        </w:tc>
        <w:tc>
          <w:tcPr>
            <w:tcW w:type="dxa" w:w="900"/>
          </w:tcPr>
          <w:p>
            <w:pPr>
              <w:keepNext/>
              <w:spacing w:before="0" w:after="0"/>
              <w:jc w:val="right"/>
            </w:pPr>
            <w:r>
              <w:rPr>
                <w:rFonts w:ascii="Times New Roman" w:hAnsi="Times New Roman" w:cs="Times New Roman" w:eastAsia="Times New Roman"/>
                <w:b w:val="0"/>
                <w:i w:val="0"/>
                <w:sz w:val="20"/>
              </w:rPr>
              <w:t>300</w:t>
            </w:r>
          </w:p>
        </w:tc>
        <w:tc>
          <w:tcPr>
            <w:tcW w:type="dxa" w:w="1500"/>
          </w:tcPr>
          <w:p>
            <w:pPr>
              <w:keepNext/>
              <w:spacing w:before="0" w:after="0"/>
              <w:jc w:val="right"/>
            </w:pPr>
            <w:r>
              <w:rPr>
                <w:rFonts w:ascii="Times New Roman" w:hAnsi="Times New Roman" w:cs="Times New Roman" w:eastAsia="Times New Roman"/>
                <w:b w:val="0"/>
                <w:i w:val="0"/>
                <w:sz w:val="20"/>
              </w:rPr>
              <w:t>$43,578.00</w:t>
            </w:r>
          </w:p>
        </w:tc>
      </w:tr>
      <w:tr>
        <w:trPr>
          <w:cantSplit/>
        </w:trPr>
        <w:tc>
          <w:tcPr>
            <w:tcW w:type="dxa" w:w="2900"/>
            <w:shd w:val="clear" w:color="auto" w:fill="DCECC6"/>
          </w:tcPr>
          <w:p>
            <w:pPr>
              <w:spacing w:before="0" w:after="0"/>
              <w:jc w:val="left"/>
            </w:pPr>
            <w:r>
              <w:rPr>
                <w:rFonts w:ascii="Times New Roman" w:hAnsi="Times New Roman" w:cs="Times New Roman" w:eastAsia="Times New Roman"/>
                <w:b/>
                <w:i w:val="0"/>
                <w:sz w:val="20"/>
              </w:rPr>
              <w:t>Total, Sample Task Order 1</w:t>
            </w:r>
          </w:p>
        </w:tc>
        <w:tc>
          <w:tcPr>
            <w:tcW w:type="dxa" w:w="1060"/>
            <w:shd w:val="clear" w:color="auto" w:fill="DCECC6"/>
          </w:tcPr>
          <w:p>
            <w:pPr>
              <w:spacing w:before="0" w:after="0"/>
              <w:jc w:val="right"/>
            </w:pPr>
            <w:r>
              <w:rPr>
                <w:rFonts w:ascii="Times New Roman" w:hAnsi="Times New Roman" w:cs="Times New Roman" w:eastAsia="Times New Roman"/>
                <w:b/>
                <w:i w:val="0"/>
                <w:sz w:val="20"/>
              </w:rPr>
            </w:r>
          </w:p>
        </w:tc>
        <w:tc>
          <w:tcPr>
            <w:tcW w:type="dxa" w:w="1000"/>
            <w:shd w:val="clear" w:color="auto" w:fill="DCECC6"/>
          </w:tcPr>
          <w:p>
            <w:pPr>
              <w:spacing w:before="0" w:after="0"/>
              <w:jc w:val="right"/>
            </w:pPr>
            <w:r>
              <w:rPr>
                <w:rFonts w:ascii="Times New Roman" w:hAnsi="Times New Roman" w:cs="Times New Roman" w:eastAsia="Times New Roman"/>
                <w:b/>
                <w:i w:val="0"/>
                <w:sz w:val="20"/>
              </w:rPr>
              <w:t>440</w:t>
            </w:r>
          </w:p>
        </w:tc>
        <w:tc>
          <w:tcPr>
            <w:tcW w:type="dxa" w:w="1000"/>
            <w:shd w:val="clear" w:color="auto" w:fill="DCECC6"/>
          </w:tcPr>
          <w:p>
            <w:pPr>
              <w:spacing w:before="0" w:after="0"/>
              <w:jc w:val="right"/>
            </w:pPr>
            <w:r>
              <w:rPr>
                <w:rFonts w:ascii="Times New Roman" w:hAnsi="Times New Roman" w:cs="Times New Roman" w:eastAsia="Times New Roman"/>
                <w:b/>
                <w:i w:val="0"/>
                <w:sz w:val="20"/>
              </w:rPr>
              <w:t>840</w:t>
            </w:r>
          </w:p>
        </w:tc>
        <w:tc>
          <w:tcPr>
            <w:tcW w:type="dxa" w:w="1000"/>
            <w:shd w:val="clear" w:color="auto" w:fill="DCECC6"/>
          </w:tcPr>
          <w:p>
            <w:pPr>
              <w:spacing w:before="0" w:after="0"/>
              <w:jc w:val="right"/>
            </w:pPr>
            <w:r>
              <w:rPr>
                <w:rFonts w:ascii="Times New Roman" w:hAnsi="Times New Roman" w:cs="Times New Roman" w:eastAsia="Times New Roman"/>
                <w:b/>
                <w:i w:val="0"/>
                <w:sz w:val="20"/>
              </w:rPr>
              <w:t>360</w:t>
            </w:r>
          </w:p>
        </w:tc>
        <w:tc>
          <w:tcPr>
            <w:tcW w:type="dxa" w:w="900"/>
            <w:shd w:val="clear" w:color="auto" w:fill="DCECC6"/>
          </w:tcPr>
          <w:p>
            <w:pPr>
              <w:spacing w:before="0" w:after="0"/>
              <w:jc w:val="right"/>
            </w:pPr>
            <w:r>
              <w:rPr>
                <w:rFonts w:ascii="Times New Roman" w:hAnsi="Times New Roman" w:cs="Times New Roman" w:eastAsia="Times New Roman"/>
                <w:b/>
                <w:i w:val="0"/>
                <w:sz w:val="20"/>
              </w:rPr>
              <w:t>1,640</w:t>
            </w:r>
          </w:p>
        </w:tc>
        <w:tc>
          <w:tcPr>
            <w:tcW w:type="dxa" w:w="1500"/>
            <w:shd w:val="clear" w:color="auto" w:fill="DCECC6"/>
          </w:tcPr>
          <w:p>
            <w:pPr>
              <w:spacing w:before="0" w:after="0"/>
              <w:jc w:val="right"/>
            </w:pPr>
            <w:r>
              <w:rPr>
                <w:rFonts w:ascii="Times New Roman" w:hAnsi="Times New Roman" w:cs="Times New Roman" w:eastAsia="Times New Roman"/>
                <w:b/>
                <w:i w:val="0"/>
                <w:sz w:val="20"/>
              </w:rPr>
              <w:t>$248,049.70</w:t>
            </w:r>
          </w:p>
        </w:tc>
      </w:tr>
    </w:tbl>
    <w:p>
      <w:pPr>
        <w:spacing w:after="80"/>
      </w:pPr>
    </w:p>
    <w:p>
      <w:pPr>
        <w:pStyle w:val="Heading2"/>
      </w:pPr>
      <w:r>
        <w:rPr>
          <w:rFonts w:ascii="Times New Roman" w:hAnsi="Times New Roman" w:cs="Times New Roman" w:eastAsia="Times New Roman"/>
          <w:b/>
          <w:i/>
          <w:sz w:val="28"/>
        </w:rPr>
        <w:t>9.3</w:t>
        <w:tab/>
        <w:t>Sample Task Orders 2 and 3: Pilot and Production (Optional)</w:t>
      </w:r>
    </w:p>
    <w:p>
      <w:pPr>
        <w:keepNext/>
        <w:spacing w:after="120"/>
      </w:pPr>
      <w:r>
        <w:rPr>
          <w:rFonts w:ascii="Times New Roman" w:hAnsi="Times New Roman" w:cs="Times New Roman" w:eastAsia="Times New Roman"/>
          <w:b w:val="0"/>
          <w:i w:val="0"/>
          <w:sz w:val="24"/>
        </w:rPr>
        <w:t>Sample Task Order 2, the pilot, is 1,920 hours and $295,105.20; Sample Task Order 3, production and rollout, is 2,720 hours and $391,187.20. Both are indicative, issued only if OCFO approves them, and re-estimated at the gate review before them. With the pilot, the planning figure is about $543,000; with production and rollout as well, about $934,000.</w:t>
      </w:r>
    </w:p>
    <w:tbl>
      <w:tblPr>
        <w:tblStyle w:val="TableGrid"/>
        <w:tblW w:type="dxa" w:w="9360"/>
        <w:jc w:val="center"/>
        <w:tblLayout w:type="fixed"/>
        <w:tblLook w:firstColumn="1" w:firstRow="1" w:lastColumn="0" w:lastRow="0" w:noHBand="0" w:noVBand="1" w:val="04A0"/>
        <w:tblCellMar>
          <w:top w:w="40" w:type="dxa"/>
          <w:left w:w="60" w:type="dxa"/>
          <w:bottom w:w="40" w:type="dxa"/>
          <w:right w:w="60" w:type="dxa"/>
        </w:tblCellMa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900"/>
        <w:gridCol w:w="1060"/>
        <w:gridCol w:w="1000"/>
        <w:gridCol w:w="1500"/>
        <w:gridCol w:w="1100"/>
        <w:gridCol w:w="1800"/>
      </w:tblGrid>
      <w:tr>
        <w:trPr>
          <w:tblHeader/>
          <w:cantSplit/>
        </w:trPr>
        <w:tc>
          <w:tcPr>
            <w:tcW w:type="dxa" w:w="2900"/>
            <w:shd w:val="clear" w:color="auto" w:fill="2F5D27"/>
          </w:tcPr>
          <w:p>
            <w:pPr>
              <w:keepNext/>
              <w:spacing w:before="0" w:after="0"/>
              <w:jc w:val="left"/>
            </w:pPr>
            <w:r>
              <w:rPr>
                <w:rFonts w:ascii="Times New Roman" w:hAnsi="Times New Roman" w:cs="Times New Roman" w:eastAsia="Times New Roman"/>
                <w:b/>
                <w:i w:val="0"/>
                <w:color w:val="FFFFFF"/>
                <w:sz w:val="20"/>
              </w:rPr>
              <w:t>Position Description</w:t>
            </w:r>
          </w:p>
        </w:tc>
        <w:tc>
          <w:tcPr>
            <w:tcW w:type="dxa" w:w="1060"/>
            <w:shd w:val="clear" w:color="auto" w:fill="2F5D27"/>
          </w:tcPr>
          <w:p>
            <w:pPr>
              <w:keepNext/>
              <w:spacing w:before="0" w:after="0"/>
              <w:jc w:val="right"/>
            </w:pPr>
            <w:r>
              <w:rPr>
                <w:rFonts w:ascii="Times New Roman" w:hAnsi="Times New Roman" w:cs="Times New Roman" w:eastAsia="Times New Roman"/>
                <w:b/>
                <w:i w:val="0"/>
                <w:color w:val="FFFFFF"/>
                <w:sz w:val="20"/>
              </w:rPr>
              <w:t>Rate</w:t>
            </w:r>
          </w:p>
        </w:tc>
        <w:tc>
          <w:tcPr>
            <w:tcW w:type="dxa" w:w="1000"/>
            <w:shd w:val="clear" w:color="auto" w:fill="2F5D27"/>
          </w:tcPr>
          <w:p>
            <w:pPr>
              <w:keepNext/>
              <w:spacing w:before="0" w:after="0"/>
              <w:jc w:val="right"/>
            </w:pPr>
            <w:r>
              <w:rPr>
                <w:rFonts w:ascii="Times New Roman" w:hAnsi="Times New Roman" w:cs="Times New Roman" w:eastAsia="Times New Roman"/>
                <w:b/>
                <w:i w:val="0"/>
                <w:color w:val="FFFFFF"/>
                <w:sz w:val="20"/>
              </w:rPr>
              <w:t>Pilot Hours</w:t>
            </w:r>
          </w:p>
        </w:tc>
        <w:tc>
          <w:tcPr>
            <w:tcW w:type="dxa" w:w="1500"/>
            <w:shd w:val="clear" w:color="auto" w:fill="2F5D27"/>
          </w:tcPr>
          <w:p>
            <w:pPr>
              <w:keepNext/>
              <w:spacing w:before="0" w:after="0"/>
              <w:jc w:val="right"/>
            </w:pPr>
            <w:r>
              <w:rPr>
                <w:rFonts w:ascii="Times New Roman" w:hAnsi="Times New Roman" w:cs="Times New Roman" w:eastAsia="Times New Roman"/>
                <w:b/>
                <w:i w:val="0"/>
                <w:color w:val="FFFFFF"/>
                <w:sz w:val="20"/>
              </w:rPr>
              <w:t>Pilot Execution</w:t>
            </w:r>
          </w:p>
        </w:tc>
        <w:tc>
          <w:tcPr>
            <w:tcW w:type="dxa" w:w="1100"/>
            <w:shd w:val="clear" w:color="auto" w:fill="2F5D27"/>
          </w:tcPr>
          <w:p>
            <w:pPr>
              <w:keepNext/>
              <w:spacing w:before="0" w:after="0"/>
              <w:jc w:val="right"/>
            </w:pPr>
            <w:r>
              <w:rPr>
                <w:rFonts w:ascii="Times New Roman" w:hAnsi="Times New Roman" w:cs="Times New Roman" w:eastAsia="Times New Roman"/>
                <w:b/>
                <w:i w:val="0"/>
                <w:color w:val="FFFFFF"/>
                <w:sz w:val="20"/>
              </w:rPr>
              <w:t>Production Hours</w:t>
            </w:r>
          </w:p>
        </w:tc>
        <w:tc>
          <w:tcPr>
            <w:tcW w:type="dxa" w:w="1800"/>
            <w:shd w:val="clear" w:color="auto" w:fill="2F5D27"/>
          </w:tcPr>
          <w:p>
            <w:pPr>
              <w:keepNext/>
              <w:spacing w:before="0" w:after="0"/>
              <w:jc w:val="right"/>
            </w:pPr>
            <w:r>
              <w:rPr>
                <w:rFonts w:ascii="Times New Roman" w:hAnsi="Times New Roman" w:cs="Times New Roman" w:eastAsia="Times New Roman"/>
                <w:b/>
                <w:i w:val="0"/>
                <w:color w:val="FFFFFF"/>
                <w:sz w:val="20"/>
              </w:rPr>
              <w:t>Production Execution</w:t>
            </w:r>
          </w:p>
        </w:tc>
      </w:tr>
      <w:tr>
        <w:trPr>
          <w:cantSplit/>
        </w:trPr>
        <w:tc>
          <w:tcPr>
            <w:tcW w:type="dxa" w:w="2900"/>
          </w:tcPr>
          <w:p>
            <w:pPr>
              <w:keepNext/>
              <w:spacing w:before="0" w:after="0"/>
              <w:jc w:val="left"/>
            </w:pPr>
            <w:r>
              <w:rPr>
                <w:rFonts w:ascii="Times New Roman" w:hAnsi="Times New Roman" w:cs="Times New Roman" w:eastAsia="Times New Roman"/>
                <w:b w:val="0"/>
                <w:i w:val="0"/>
                <w:sz w:val="20"/>
              </w:rPr>
              <w:t>Director (Engagement Lead)</w:t>
            </w:r>
          </w:p>
        </w:tc>
        <w:tc>
          <w:tcPr>
            <w:tcW w:type="dxa" w:w="1060"/>
          </w:tcPr>
          <w:p>
            <w:pPr>
              <w:keepNext/>
              <w:spacing w:before="0" w:after="0"/>
              <w:jc w:val="right"/>
            </w:pPr>
            <w:r>
              <w:rPr>
                <w:rFonts w:ascii="Times New Roman" w:hAnsi="Times New Roman" w:cs="Times New Roman" w:eastAsia="Times New Roman"/>
                <w:b w:val="0"/>
                <w:i w:val="0"/>
                <w:sz w:val="20"/>
              </w:rPr>
              <w:t>$188.20</w:t>
            </w:r>
          </w:p>
        </w:tc>
        <w:tc>
          <w:tcPr>
            <w:tcW w:type="dxa" w:w="1000"/>
          </w:tcPr>
          <w:p>
            <w:pPr>
              <w:keepNext/>
              <w:spacing w:before="0" w:after="0"/>
              <w:jc w:val="right"/>
            </w:pPr>
            <w:r>
              <w:rPr>
                <w:rFonts w:ascii="Times New Roman" w:hAnsi="Times New Roman" w:cs="Times New Roman" w:eastAsia="Times New Roman"/>
                <w:b w:val="0"/>
                <w:i w:val="0"/>
                <w:sz w:val="20"/>
              </w:rPr>
              <w:t>120</w:t>
            </w:r>
          </w:p>
        </w:tc>
        <w:tc>
          <w:tcPr>
            <w:tcW w:type="dxa" w:w="1500"/>
          </w:tcPr>
          <w:p>
            <w:pPr>
              <w:keepNext/>
              <w:spacing w:before="0" w:after="0"/>
              <w:jc w:val="right"/>
            </w:pPr>
            <w:r>
              <w:rPr>
                <w:rFonts w:ascii="Times New Roman" w:hAnsi="Times New Roman" w:cs="Times New Roman" w:eastAsia="Times New Roman"/>
                <w:b w:val="0"/>
                <w:i w:val="0"/>
                <w:sz w:val="20"/>
              </w:rPr>
              <w:t>$22,584.00</w:t>
            </w:r>
          </w:p>
        </w:tc>
        <w:tc>
          <w:tcPr>
            <w:tcW w:type="dxa" w:w="1100"/>
          </w:tcPr>
          <w:p>
            <w:pPr>
              <w:keepNext/>
              <w:spacing w:before="0" w:after="0"/>
              <w:jc w:val="right"/>
            </w:pPr>
            <w:r>
              <w:rPr>
                <w:rFonts w:ascii="Times New Roman" w:hAnsi="Times New Roman" w:cs="Times New Roman" w:eastAsia="Times New Roman"/>
                <w:b w:val="0"/>
                <w:i w:val="0"/>
                <w:sz w:val="20"/>
              </w:rPr>
              <w:t>160</w:t>
            </w:r>
          </w:p>
        </w:tc>
        <w:tc>
          <w:tcPr>
            <w:tcW w:type="dxa" w:w="1800"/>
          </w:tcPr>
          <w:p>
            <w:pPr>
              <w:keepNext/>
              <w:spacing w:before="0" w:after="0"/>
              <w:jc w:val="right"/>
            </w:pPr>
            <w:r>
              <w:rPr>
                <w:rFonts w:ascii="Times New Roman" w:hAnsi="Times New Roman" w:cs="Times New Roman" w:eastAsia="Times New Roman"/>
                <w:b w:val="0"/>
                <w:i w:val="0"/>
                <w:sz w:val="20"/>
              </w:rPr>
              <w:t>$30,112.00</w:t>
            </w:r>
          </w:p>
        </w:tc>
      </w:tr>
      <w:tr>
        <w:trPr>
          <w:cantSplit/>
        </w:trPr>
        <w:tc>
          <w:tcPr>
            <w:tcW w:type="dxa" w:w="2900"/>
          </w:tcPr>
          <w:p>
            <w:pPr>
              <w:keepNext/>
              <w:spacing w:before="0" w:after="0"/>
              <w:jc w:val="left"/>
            </w:pPr>
            <w:r>
              <w:rPr>
                <w:rFonts w:ascii="Times New Roman" w:hAnsi="Times New Roman" w:cs="Times New Roman" w:eastAsia="Times New Roman"/>
                <w:b w:val="0"/>
                <w:i w:val="0"/>
                <w:sz w:val="20"/>
              </w:rPr>
              <w:t>Manager - Developer (Solution Architect)</w:t>
            </w:r>
          </w:p>
        </w:tc>
        <w:tc>
          <w:tcPr>
            <w:tcW w:type="dxa" w:w="1060"/>
          </w:tcPr>
          <w:p>
            <w:pPr>
              <w:keepNext/>
              <w:spacing w:before="0" w:after="0"/>
              <w:jc w:val="right"/>
            </w:pPr>
            <w:r>
              <w:rPr>
                <w:rFonts w:ascii="Times New Roman" w:hAnsi="Times New Roman" w:cs="Times New Roman" w:eastAsia="Times New Roman"/>
                <w:b w:val="0"/>
                <w:i w:val="0"/>
                <w:sz w:val="20"/>
              </w:rPr>
              <w:t>$194.37</w:t>
            </w:r>
          </w:p>
        </w:tc>
        <w:tc>
          <w:tcPr>
            <w:tcW w:type="dxa" w:w="1000"/>
          </w:tcPr>
          <w:p>
            <w:pPr>
              <w:keepNext/>
              <w:spacing w:before="0" w:after="0"/>
              <w:jc w:val="right"/>
            </w:pPr>
            <w:r>
              <w:rPr>
                <w:rFonts w:ascii="Times New Roman" w:hAnsi="Times New Roman" w:cs="Times New Roman" w:eastAsia="Times New Roman"/>
                <w:b w:val="0"/>
                <w:i w:val="0"/>
                <w:sz w:val="20"/>
              </w:rPr>
              <w:t>360</w:t>
            </w:r>
          </w:p>
        </w:tc>
        <w:tc>
          <w:tcPr>
            <w:tcW w:type="dxa" w:w="1500"/>
          </w:tcPr>
          <w:p>
            <w:pPr>
              <w:keepNext/>
              <w:spacing w:before="0" w:after="0"/>
              <w:jc w:val="right"/>
            </w:pPr>
            <w:r>
              <w:rPr>
                <w:rFonts w:ascii="Times New Roman" w:hAnsi="Times New Roman" w:cs="Times New Roman" w:eastAsia="Times New Roman"/>
                <w:b w:val="0"/>
                <w:i w:val="0"/>
                <w:sz w:val="20"/>
              </w:rPr>
              <w:t>$69,973.20</w:t>
            </w:r>
          </w:p>
        </w:tc>
        <w:tc>
          <w:tcPr>
            <w:tcW w:type="dxa" w:w="1100"/>
          </w:tcPr>
          <w:p>
            <w:pPr>
              <w:keepNext/>
              <w:spacing w:before="0" w:after="0"/>
              <w:jc w:val="right"/>
            </w:pPr>
            <w:r>
              <w:rPr>
                <w:rFonts w:ascii="Times New Roman" w:hAnsi="Times New Roman" w:cs="Times New Roman" w:eastAsia="Times New Roman"/>
                <w:b w:val="0"/>
                <w:i w:val="0"/>
                <w:sz w:val="20"/>
              </w:rPr>
              <w:t>320</w:t>
            </w:r>
          </w:p>
        </w:tc>
        <w:tc>
          <w:tcPr>
            <w:tcW w:type="dxa" w:w="1800"/>
          </w:tcPr>
          <w:p>
            <w:pPr>
              <w:keepNext/>
              <w:spacing w:before="0" w:after="0"/>
              <w:jc w:val="right"/>
            </w:pPr>
            <w:r>
              <w:rPr>
                <w:rFonts w:ascii="Times New Roman" w:hAnsi="Times New Roman" w:cs="Times New Roman" w:eastAsia="Times New Roman"/>
                <w:b w:val="0"/>
                <w:i w:val="0"/>
                <w:sz w:val="20"/>
              </w:rPr>
              <w:t>$62,198.40</w:t>
            </w:r>
          </w:p>
        </w:tc>
      </w:tr>
      <w:tr>
        <w:trPr>
          <w:cantSplit/>
        </w:trPr>
        <w:tc>
          <w:tcPr>
            <w:tcW w:type="dxa" w:w="2900"/>
          </w:tcPr>
          <w:p>
            <w:pPr>
              <w:keepNext/>
              <w:spacing w:before="0" w:after="0"/>
              <w:jc w:val="left"/>
            </w:pPr>
            <w:r>
              <w:rPr>
                <w:rFonts w:ascii="Times New Roman" w:hAnsi="Times New Roman" w:cs="Times New Roman" w:eastAsia="Times New Roman"/>
                <w:b w:val="0"/>
                <w:i w:val="0"/>
                <w:sz w:val="20"/>
              </w:rPr>
              <w:t>Senior (Business Analyst and AP Process Specialist)</w:t>
            </w:r>
          </w:p>
        </w:tc>
        <w:tc>
          <w:tcPr>
            <w:tcW w:type="dxa" w:w="1060"/>
          </w:tcPr>
          <w:p>
            <w:pPr>
              <w:keepNext/>
              <w:spacing w:before="0" w:after="0"/>
              <w:jc w:val="right"/>
            </w:pPr>
            <w:r>
              <w:rPr>
                <w:rFonts w:ascii="Times New Roman" w:hAnsi="Times New Roman" w:cs="Times New Roman" w:eastAsia="Times New Roman"/>
                <w:b w:val="0"/>
                <w:i w:val="0"/>
                <w:sz w:val="20"/>
              </w:rPr>
              <w:t>$117.65</w:t>
            </w:r>
          </w:p>
        </w:tc>
        <w:tc>
          <w:tcPr>
            <w:tcW w:type="dxa" w:w="1000"/>
          </w:tcPr>
          <w:p>
            <w:pPr>
              <w:keepNext/>
              <w:spacing w:before="0" w:after="0"/>
              <w:jc w:val="right"/>
            </w:pPr>
            <w:r>
              <w:rPr>
                <w:rFonts w:ascii="Times New Roman" w:hAnsi="Times New Roman" w:cs="Times New Roman" w:eastAsia="Times New Roman"/>
                <w:b w:val="0"/>
                <w:i w:val="0"/>
                <w:sz w:val="20"/>
              </w:rPr>
              <w:t>240</w:t>
            </w:r>
          </w:p>
        </w:tc>
        <w:tc>
          <w:tcPr>
            <w:tcW w:type="dxa" w:w="1500"/>
          </w:tcPr>
          <w:p>
            <w:pPr>
              <w:keepNext/>
              <w:spacing w:before="0" w:after="0"/>
              <w:jc w:val="right"/>
            </w:pPr>
            <w:r>
              <w:rPr>
                <w:rFonts w:ascii="Times New Roman" w:hAnsi="Times New Roman" w:cs="Times New Roman" w:eastAsia="Times New Roman"/>
                <w:b w:val="0"/>
                <w:i w:val="0"/>
                <w:sz w:val="20"/>
              </w:rPr>
              <w:t>$28,236.00</w:t>
            </w:r>
          </w:p>
        </w:tc>
        <w:tc>
          <w:tcPr>
            <w:tcW w:type="dxa" w:w="1100"/>
          </w:tcPr>
          <w:p>
            <w:pPr>
              <w:keepNext/>
              <w:spacing w:before="0" w:after="0"/>
              <w:jc w:val="right"/>
            </w:pPr>
            <w:r>
              <w:rPr>
                <w:rFonts w:ascii="Times New Roman" w:hAnsi="Times New Roman" w:cs="Times New Roman" w:eastAsia="Times New Roman"/>
                <w:b w:val="0"/>
                <w:i w:val="0"/>
                <w:sz w:val="20"/>
              </w:rPr>
              <w:t>320</w:t>
            </w:r>
          </w:p>
        </w:tc>
        <w:tc>
          <w:tcPr>
            <w:tcW w:type="dxa" w:w="1800"/>
          </w:tcPr>
          <w:p>
            <w:pPr>
              <w:keepNext/>
              <w:spacing w:before="0" w:after="0"/>
              <w:jc w:val="right"/>
            </w:pPr>
            <w:r>
              <w:rPr>
                <w:rFonts w:ascii="Times New Roman" w:hAnsi="Times New Roman" w:cs="Times New Roman" w:eastAsia="Times New Roman"/>
                <w:b w:val="0"/>
                <w:i w:val="0"/>
                <w:sz w:val="20"/>
              </w:rPr>
              <w:t>$37,648.00</w:t>
            </w:r>
          </w:p>
        </w:tc>
      </w:tr>
      <w:tr>
        <w:trPr>
          <w:cantSplit/>
        </w:trPr>
        <w:tc>
          <w:tcPr>
            <w:tcW w:type="dxa" w:w="2900"/>
          </w:tcPr>
          <w:p>
            <w:pPr>
              <w:keepNext/>
              <w:spacing w:before="0" w:after="0"/>
              <w:jc w:val="left"/>
            </w:pPr>
            <w:r>
              <w:rPr>
                <w:rFonts w:ascii="Times New Roman" w:hAnsi="Times New Roman" w:cs="Times New Roman" w:eastAsia="Times New Roman"/>
                <w:b w:val="0"/>
                <w:i w:val="0"/>
                <w:sz w:val="20"/>
              </w:rPr>
              <w:t>Senior - Developer (AI/ML)</w:t>
            </w:r>
          </w:p>
        </w:tc>
        <w:tc>
          <w:tcPr>
            <w:tcW w:type="dxa" w:w="1060"/>
          </w:tcPr>
          <w:p>
            <w:pPr>
              <w:keepNext/>
              <w:spacing w:before="0" w:after="0"/>
              <w:jc w:val="right"/>
            </w:pPr>
            <w:r>
              <w:rPr>
                <w:rFonts w:ascii="Times New Roman" w:hAnsi="Times New Roman" w:cs="Times New Roman" w:eastAsia="Times New Roman"/>
                <w:b w:val="0"/>
                <w:i w:val="0"/>
                <w:sz w:val="20"/>
              </w:rPr>
              <w:t>$145.26</w:t>
            </w:r>
          </w:p>
        </w:tc>
        <w:tc>
          <w:tcPr>
            <w:tcW w:type="dxa" w:w="1000"/>
          </w:tcPr>
          <w:p>
            <w:pPr>
              <w:keepNext/>
              <w:spacing w:before="0" w:after="0"/>
              <w:jc w:val="right"/>
            </w:pPr>
            <w:r>
              <w:rPr>
                <w:rFonts w:ascii="Times New Roman" w:hAnsi="Times New Roman" w:cs="Times New Roman" w:eastAsia="Times New Roman"/>
                <w:b w:val="0"/>
                <w:i w:val="0"/>
                <w:sz w:val="20"/>
              </w:rPr>
              <w:t>480</w:t>
            </w:r>
          </w:p>
        </w:tc>
        <w:tc>
          <w:tcPr>
            <w:tcW w:type="dxa" w:w="1500"/>
          </w:tcPr>
          <w:p>
            <w:pPr>
              <w:keepNext/>
              <w:spacing w:before="0" w:after="0"/>
              <w:jc w:val="right"/>
            </w:pPr>
            <w:r>
              <w:rPr>
                <w:rFonts w:ascii="Times New Roman" w:hAnsi="Times New Roman" w:cs="Times New Roman" w:eastAsia="Times New Roman"/>
                <w:b w:val="0"/>
                <w:i w:val="0"/>
                <w:sz w:val="20"/>
              </w:rPr>
              <w:t>$69,724.80</w:t>
            </w:r>
          </w:p>
        </w:tc>
        <w:tc>
          <w:tcPr>
            <w:tcW w:type="dxa" w:w="1100"/>
          </w:tcPr>
          <w:p>
            <w:pPr>
              <w:keepNext/>
              <w:spacing w:before="0" w:after="0"/>
              <w:jc w:val="right"/>
            </w:pPr>
            <w:r>
              <w:rPr>
                <w:rFonts w:ascii="Times New Roman" w:hAnsi="Times New Roman" w:cs="Times New Roman" w:eastAsia="Times New Roman"/>
                <w:b w:val="0"/>
                <w:i w:val="0"/>
                <w:sz w:val="20"/>
              </w:rPr>
              <w:t>320</w:t>
            </w:r>
          </w:p>
        </w:tc>
        <w:tc>
          <w:tcPr>
            <w:tcW w:type="dxa" w:w="1800"/>
          </w:tcPr>
          <w:p>
            <w:pPr>
              <w:keepNext/>
              <w:spacing w:before="0" w:after="0"/>
              <w:jc w:val="right"/>
            </w:pPr>
            <w:r>
              <w:rPr>
                <w:rFonts w:ascii="Times New Roman" w:hAnsi="Times New Roman" w:cs="Times New Roman" w:eastAsia="Times New Roman"/>
                <w:b w:val="0"/>
                <w:i w:val="0"/>
                <w:sz w:val="20"/>
              </w:rPr>
              <w:t>$46,483.20</w:t>
            </w:r>
          </w:p>
        </w:tc>
      </w:tr>
      <w:tr>
        <w:trPr>
          <w:cantSplit/>
        </w:trPr>
        <w:tc>
          <w:tcPr>
            <w:tcW w:type="dxa" w:w="2900"/>
          </w:tcPr>
          <w:p>
            <w:pPr>
              <w:keepNext/>
              <w:spacing w:before="0" w:after="0"/>
              <w:jc w:val="left"/>
            </w:pPr>
            <w:r>
              <w:rPr>
                <w:rFonts w:ascii="Times New Roman" w:hAnsi="Times New Roman" w:cs="Times New Roman" w:eastAsia="Times New Roman"/>
                <w:b w:val="0"/>
                <w:i w:val="0"/>
                <w:sz w:val="20"/>
              </w:rPr>
              <w:t>Senior - Developer (Full Stack)</w:t>
            </w:r>
          </w:p>
        </w:tc>
        <w:tc>
          <w:tcPr>
            <w:tcW w:type="dxa" w:w="1060"/>
          </w:tcPr>
          <w:p>
            <w:pPr>
              <w:keepNext/>
              <w:spacing w:before="0" w:after="0"/>
              <w:jc w:val="right"/>
            </w:pPr>
            <w:r>
              <w:rPr>
                <w:rFonts w:ascii="Times New Roman" w:hAnsi="Times New Roman" w:cs="Times New Roman" w:eastAsia="Times New Roman"/>
                <w:b w:val="0"/>
                <w:i w:val="0"/>
                <w:sz w:val="20"/>
              </w:rPr>
              <w:t>$145.26</w:t>
            </w:r>
          </w:p>
        </w:tc>
        <w:tc>
          <w:tcPr>
            <w:tcW w:type="dxa" w:w="1000"/>
          </w:tcPr>
          <w:p>
            <w:pPr>
              <w:keepNext/>
              <w:spacing w:before="0" w:after="0"/>
              <w:jc w:val="right"/>
            </w:pPr>
            <w:r>
              <w:rPr>
                <w:rFonts w:ascii="Times New Roman" w:hAnsi="Times New Roman" w:cs="Times New Roman" w:eastAsia="Times New Roman"/>
                <w:b w:val="0"/>
                <w:i w:val="0"/>
                <w:sz w:val="20"/>
              </w:rPr>
              <w:t>480</w:t>
            </w:r>
          </w:p>
        </w:tc>
        <w:tc>
          <w:tcPr>
            <w:tcW w:type="dxa" w:w="1500"/>
          </w:tcPr>
          <w:p>
            <w:pPr>
              <w:keepNext/>
              <w:spacing w:before="0" w:after="0"/>
              <w:jc w:val="right"/>
            </w:pPr>
            <w:r>
              <w:rPr>
                <w:rFonts w:ascii="Times New Roman" w:hAnsi="Times New Roman" w:cs="Times New Roman" w:eastAsia="Times New Roman"/>
                <w:b w:val="0"/>
                <w:i w:val="0"/>
                <w:sz w:val="20"/>
              </w:rPr>
              <w:t>$69,724.80</w:t>
            </w:r>
          </w:p>
        </w:tc>
        <w:tc>
          <w:tcPr>
            <w:tcW w:type="dxa" w:w="1100"/>
          </w:tcPr>
          <w:p>
            <w:pPr>
              <w:keepNext/>
              <w:spacing w:before="0" w:after="0"/>
              <w:jc w:val="right"/>
            </w:pPr>
            <w:r>
              <w:rPr>
                <w:rFonts w:ascii="Times New Roman" w:hAnsi="Times New Roman" w:cs="Times New Roman" w:eastAsia="Times New Roman"/>
                <w:b w:val="0"/>
                <w:i w:val="0"/>
                <w:sz w:val="20"/>
              </w:rPr>
              <w:t>640</w:t>
            </w:r>
          </w:p>
        </w:tc>
        <w:tc>
          <w:tcPr>
            <w:tcW w:type="dxa" w:w="1800"/>
          </w:tcPr>
          <w:p>
            <w:pPr>
              <w:keepNext/>
              <w:spacing w:before="0" w:after="0"/>
              <w:jc w:val="right"/>
            </w:pPr>
            <w:r>
              <w:rPr>
                <w:rFonts w:ascii="Times New Roman" w:hAnsi="Times New Roman" w:cs="Times New Roman" w:eastAsia="Times New Roman"/>
                <w:b w:val="0"/>
                <w:i w:val="0"/>
                <w:sz w:val="20"/>
              </w:rPr>
              <w:t>$92,966.40</w:t>
            </w:r>
          </w:p>
        </w:tc>
      </w:tr>
      <w:tr>
        <w:trPr>
          <w:cantSplit/>
        </w:trPr>
        <w:tc>
          <w:tcPr>
            <w:tcW w:type="dxa" w:w="2900"/>
          </w:tcPr>
          <w:p>
            <w:pPr>
              <w:keepNext/>
              <w:spacing w:before="0" w:after="0"/>
              <w:jc w:val="left"/>
            </w:pPr>
            <w:r>
              <w:rPr>
                <w:rFonts w:ascii="Times New Roman" w:hAnsi="Times New Roman" w:cs="Times New Roman" w:eastAsia="Times New Roman"/>
                <w:b w:val="0"/>
                <w:i w:val="0"/>
                <w:sz w:val="20"/>
              </w:rPr>
              <w:t>Senior - Developer (Test and Quality Lead)</w:t>
            </w:r>
          </w:p>
        </w:tc>
        <w:tc>
          <w:tcPr>
            <w:tcW w:type="dxa" w:w="1060"/>
          </w:tcPr>
          <w:p>
            <w:pPr>
              <w:keepNext/>
              <w:spacing w:before="0" w:after="0"/>
              <w:jc w:val="right"/>
            </w:pPr>
            <w:r>
              <w:rPr>
                <w:rFonts w:ascii="Times New Roman" w:hAnsi="Times New Roman" w:cs="Times New Roman" w:eastAsia="Times New Roman"/>
                <w:b w:val="0"/>
                <w:i w:val="0"/>
                <w:sz w:val="20"/>
              </w:rPr>
              <w:t>$145.26</w:t>
            </w:r>
          </w:p>
        </w:tc>
        <w:tc>
          <w:tcPr>
            <w:tcW w:type="dxa" w:w="1000"/>
          </w:tcPr>
          <w:p>
            <w:pPr>
              <w:keepNext/>
              <w:spacing w:before="0" w:after="0"/>
              <w:jc w:val="right"/>
            </w:pPr>
            <w:r>
              <w:rPr>
                <w:rFonts w:ascii="Times New Roman" w:hAnsi="Times New Roman" w:cs="Times New Roman" w:eastAsia="Times New Roman"/>
                <w:b w:val="0"/>
                <w:i w:val="0"/>
                <w:sz w:val="20"/>
              </w:rPr>
              <w:t>240</w:t>
            </w:r>
          </w:p>
        </w:tc>
        <w:tc>
          <w:tcPr>
            <w:tcW w:type="dxa" w:w="1500"/>
          </w:tcPr>
          <w:p>
            <w:pPr>
              <w:keepNext/>
              <w:spacing w:before="0" w:after="0"/>
              <w:jc w:val="right"/>
            </w:pPr>
            <w:r>
              <w:rPr>
                <w:rFonts w:ascii="Times New Roman" w:hAnsi="Times New Roman" w:cs="Times New Roman" w:eastAsia="Times New Roman"/>
                <w:b w:val="0"/>
                <w:i w:val="0"/>
                <w:sz w:val="20"/>
              </w:rPr>
              <w:t>$34,862.40</w:t>
            </w:r>
          </w:p>
        </w:tc>
        <w:tc>
          <w:tcPr>
            <w:tcW w:type="dxa" w:w="1100"/>
          </w:tcPr>
          <w:p>
            <w:pPr>
              <w:keepNext/>
              <w:spacing w:before="0" w:after="0"/>
              <w:jc w:val="right"/>
            </w:pPr>
            <w:r>
              <w:rPr>
                <w:rFonts w:ascii="Times New Roman" w:hAnsi="Times New Roman" w:cs="Times New Roman" w:eastAsia="Times New Roman"/>
                <w:b w:val="0"/>
                <w:i w:val="0"/>
                <w:sz w:val="20"/>
              </w:rPr>
              <w:t>320</w:t>
            </w:r>
          </w:p>
        </w:tc>
        <w:tc>
          <w:tcPr>
            <w:tcW w:type="dxa" w:w="1800"/>
          </w:tcPr>
          <w:p>
            <w:pPr>
              <w:keepNext/>
              <w:spacing w:before="0" w:after="0"/>
              <w:jc w:val="right"/>
            </w:pPr>
            <w:r>
              <w:rPr>
                <w:rFonts w:ascii="Times New Roman" w:hAnsi="Times New Roman" w:cs="Times New Roman" w:eastAsia="Times New Roman"/>
                <w:b w:val="0"/>
                <w:i w:val="0"/>
                <w:sz w:val="20"/>
              </w:rPr>
              <w:t>$46,483.20</w:t>
            </w:r>
          </w:p>
        </w:tc>
      </w:tr>
      <w:tr>
        <w:trPr>
          <w:cantSplit/>
        </w:trPr>
        <w:tc>
          <w:tcPr>
            <w:tcW w:type="dxa" w:w="2900"/>
          </w:tcPr>
          <w:p>
            <w:pPr>
              <w:keepNext/>
              <w:spacing w:before="0" w:after="0"/>
              <w:jc w:val="left"/>
            </w:pPr>
            <w:r>
              <w:rPr>
                <w:rFonts w:ascii="Times New Roman" w:hAnsi="Times New Roman" w:cs="Times New Roman" w:eastAsia="Times New Roman"/>
                <w:b w:val="0"/>
                <w:i w:val="0"/>
                <w:sz w:val="20"/>
              </w:rPr>
              <w:t>Senior (Change Management and Training Lead)</w:t>
            </w:r>
          </w:p>
        </w:tc>
        <w:tc>
          <w:tcPr>
            <w:tcW w:type="dxa" w:w="1060"/>
          </w:tcPr>
          <w:p>
            <w:pPr>
              <w:keepNext/>
              <w:spacing w:before="0" w:after="0"/>
              <w:jc w:val="right"/>
            </w:pPr>
            <w:r>
              <w:rPr>
                <w:rFonts w:ascii="Times New Roman" w:hAnsi="Times New Roman" w:cs="Times New Roman" w:eastAsia="Times New Roman"/>
                <w:b w:val="0"/>
                <w:i w:val="0"/>
                <w:sz w:val="20"/>
              </w:rPr>
              <w:t>$117.65</w:t>
            </w:r>
          </w:p>
        </w:tc>
        <w:tc>
          <w:tcPr>
            <w:tcW w:type="dxa" w:w="1000"/>
          </w:tcPr>
          <w:p>
            <w:pPr>
              <w:keepNext/>
              <w:spacing w:before="0" w:after="0"/>
              <w:jc w:val="right"/>
            </w:pPr>
            <w:r>
              <w:rPr>
                <w:rFonts w:ascii="Times New Roman" w:hAnsi="Times New Roman" w:cs="Times New Roman" w:eastAsia="Times New Roman"/>
                <w:b w:val="0"/>
                <w:i w:val="0"/>
                <w:sz w:val="20"/>
              </w:rPr>
            </w:r>
          </w:p>
        </w:tc>
        <w:tc>
          <w:tcPr>
            <w:tcW w:type="dxa" w:w="1500"/>
          </w:tcPr>
          <w:p>
            <w:pPr>
              <w:keepNext/>
              <w:spacing w:before="0" w:after="0"/>
              <w:jc w:val="right"/>
            </w:pPr>
            <w:r>
              <w:rPr>
                <w:rFonts w:ascii="Times New Roman" w:hAnsi="Times New Roman" w:cs="Times New Roman" w:eastAsia="Times New Roman"/>
                <w:b w:val="0"/>
                <w:i w:val="0"/>
                <w:sz w:val="20"/>
              </w:rPr>
            </w:r>
          </w:p>
        </w:tc>
        <w:tc>
          <w:tcPr>
            <w:tcW w:type="dxa" w:w="1100"/>
          </w:tcPr>
          <w:p>
            <w:pPr>
              <w:keepNext/>
              <w:spacing w:before="0" w:after="0"/>
              <w:jc w:val="right"/>
            </w:pPr>
            <w:r>
              <w:rPr>
                <w:rFonts w:ascii="Times New Roman" w:hAnsi="Times New Roman" w:cs="Times New Roman" w:eastAsia="Times New Roman"/>
                <w:b w:val="0"/>
                <w:i w:val="0"/>
                <w:sz w:val="20"/>
              </w:rPr>
              <w:t>640</w:t>
            </w:r>
          </w:p>
        </w:tc>
        <w:tc>
          <w:tcPr>
            <w:tcW w:type="dxa" w:w="1800"/>
          </w:tcPr>
          <w:p>
            <w:pPr>
              <w:keepNext/>
              <w:spacing w:before="0" w:after="0"/>
              <w:jc w:val="right"/>
            </w:pPr>
            <w:r>
              <w:rPr>
                <w:rFonts w:ascii="Times New Roman" w:hAnsi="Times New Roman" w:cs="Times New Roman" w:eastAsia="Times New Roman"/>
                <w:b w:val="0"/>
                <w:i w:val="0"/>
                <w:sz w:val="20"/>
              </w:rPr>
              <w:t>$75,296.00</w:t>
            </w:r>
          </w:p>
        </w:tc>
      </w:tr>
      <w:tr>
        <w:trPr>
          <w:cantSplit/>
        </w:trPr>
        <w:tc>
          <w:tcPr>
            <w:tcW w:type="dxa" w:w="2900"/>
            <w:shd w:val="clear" w:color="auto" w:fill="DCECC6"/>
          </w:tcPr>
          <w:p>
            <w:pPr>
              <w:spacing w:before="0" w:after="0"/>
              <w:jc w:val="left"/>
            </w:pPr>
            <w:r>
              <w:rPr>
                <w:rFonts w:ascii="Times New Roman" w:hAnsi="Times New Roman" w:cs="Times New Roman" w:eastAsia="Times New Roman"/>
                <w:b/>
                <w:i w:val="0"/>
                <w:sz w:val="20"/>
              </w:rPr>
              <w:t>Total (Indicative)</w:t>
            </w:r>
          </w:p>
        </w:tc>
        <w:tc>
          <w:tcPr>
            <w:tcW w:type="dxa" w:w="1060"/>
            <w:shd w:val="clear" w:color="auto" w:fill="DCECC6"/>
          </w:tcPr>
          <w:p>
            <w:pPr>
              <w:spacing w:before="0" w:after="0"/>
              <w:jc w:val="right"/>
            </w:pPr>
            <w:r>
              <w:rPr>
                <w:rFonts w:ascii="Times New Roman" w:hAnsi="Times New Roman" w:cs="Times New Roman" w:eastAsia="Times New Roman"/>
                <w:b/>
                <w:i w:val="0"/>
                <w:sz w:val="20"/>
              </w:rPr>
            </w:r>
          </w:p>
        </w:tc>
        <w:tc>
          <w:tcPr>
            <w:tcW w:type="dxa" w:w="1000"/>
            <w:shd w:val="clear" w:color="auto" w:fill="DCECC6"/>
          </w:tcPr>
          <w:p>
            <w:pPr>
              <w:spacing w:before="0" w:after="0"/>
              <w:jc w:val="right"/>
            </w:pPr>
            <w:r>
              <w:rPr>
                <w:rFonts w:ascii="Times New Roman" w:hAnsi="Times New Roman" w:cs="Times New Roman" w:eastAsia="Times New Roman"/>
                <w:b/>
                <w:i w:val="0"/>
                <w:sz w:val="20"/>
              </w:rPr>
              <w:t>1,920</w:t>
            </w:r>
          </w:p>
        </w:tc>
        <w:tc>
          <w:tcPr>
            <w:tcW w:type="dxa" w:w="1500"/>
            <w:shd w:val="clear" w:color="auto" w:fill="DCECC6"/>
          </w:tcPr>
          <w:p>
            <w:pPr>
              <w:spacing w:before="0" w:after="0"/>
              <w:jc w:val="right"/>
            </w:pPr>
            <w:r>
              <w:rPr>
                <w:rFonts w:ascii="Times New Roman" w:hAnsi="Times New Roman" w:cs="Times New Roman" w:eastAsia="Times New Roman"/>
                <w:b/>
                <w:i w:val="0"/>
                <w:sz w:val="20"/>
              </w:rPr>
              <w:t>$295,105.20</w:t>
            </w:r>
          </w:p>
        </w:tc>
        <w:tc>
          <w:tcPr>
            <w:tcW w:type="dxa" w:w="1100"/>
            <w:shd w:val="clear" w:color="auto" w:fill="DCECC6"/>
          </w:tcPr>
          <w:p>
            <w:pPr>
              <w:spacing w:before="0" w:after="0"/>
              <w:jc w:val="right"/>
            </w:pPr>
            <w:r>
              <w:rPr>
                <w:rFonts w:ascii="Times New Roman" w:hAnsi="Times New Roman" w:cs="Times New Roman" w:eastAsia="Times New Roman"/>
                <w:b/>
                <w:i w:val="0"/>
                <w:sz w:val="20"/>
              </w:rPr>
              <w:t>2,720</w:t>
            </w:r>
          </w:p>
        </w:tc>
        <w:tc>
          <w:tcPr>
            <w:tcW w:type="dxa" w:w="1800"/>
            <w:shd w:val="clear" w:color="auto" w:fill="DCECC6"/>
          </w:tcPr>
          <w:p>
            <w:pPr>
              <w:spacing w:before="0" w:after="0"/>
              <w:jc w:val="right"/>
            </w:pPr>
            <w:r>
              <w:rPr>
                <w:rFonts w:ascii="Times New Roman" w:hAnsi="Times New Roman" w:cs="Times New Roman" w:eastAsia="Times New Roman"/>
                <w:b/>
                <w:i w:val="0"/>
                <w:sz w:val="20"/>
              </w:rPr>
              <w:t>$391,187.20</w:t>
            </w:r>
          </w:p>
        </w:tc>
      </w:tr>
    </w:tbl>
    <w:p>
      <w:pPr>
        <w:spacing w:after="80"/>
      </w:pPr>
    </w:p>
    <w:sectPr w:rsidR="00FC693F" w:rsidRPr="0006063C" w:rsidSect="00034616">
      <w:headerReference w:type="default" r:id="rId11"/>
      <w:footerReference w:type="default" r:id="rId12"/>
      <w:pgSz w:w="12240" w:h="15840"/>
      <w:pgMar w:top="1872" w:right="1440" w:bottom="1440" w:left="1440" w:header="288"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ind w:left="-1620"/>
    </w:pPr>
    <w:r>
      <w:rPr>
        <w:rFonts w:ascii="Times New Roman" w:hAnsi="Times New Roman" w:cs="Times New Roman" w:eastAsia="Times New Roman"/>
        <w:b/>
        <w:i w:val="0"/>
        <w:sz w:val="20"/>
      </w:rPr>
      <w:t>guidehouse.com</w:t>
    </w:r>
  </w:p>
  <w:p>
    <w:pPr>
      <w:spacing w:before="300" w:after="0" w:line="180" w:lineRule="exact"/>
      <w:ind w:left="-2320" w:right="-300"/>
    </w:pPr>
    <w:r>
      <w:rPr>
        <w:rFonts w:ascii="Times New Roman" w:hAnsi="Times New Roman" w:cs="Times New Roman" w:eastAsia="Times New Roman"/>
        <w:b w:val="0"/>
        <w:i w:val="0"/>
        <w:sz w:val="16"/>
      </w:rPr>
      <w:t>© 2026 This document contains information which is being submitted by Guidehouse for purposes of providing U.S. Immigration and Customs Enforcement with pre-contract survey information. This document should not be considered a proposal or statement of work and may be shared with parties outside of the Government, if ICE believes it is in the Government’s best interest to do so.</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Pr>
    <w:r>
      <w:rPr>
        <w:rFonts w:ascii="Times New Roman" w:hAnsi="Times New Roman" w:cs="Times New Roman" w:eastAsia="Times New Roman"/>
        <w:b w:val="0"/>
        <w:i w:val="0"/>
        <w:sz w:val="4"/>
      </w:rPr>
    </w:r>
    <w:r>
      <w:drawing>
        <wp:anchor xmlns:a="http://schemas.openxmlformats.org/drawingml/2006/main" distT="0" distB="0" distL="0" distR="0" simplePos="0" relativeHeight="0" behindDoc="1" locked="0" layoutInCell="1" allowOverlap="1">
          <wp:simplePos x="0" y="0"/>
          <wp:positionH relativeFrom="page">
            <wp:posOffset>0</wp:posOffset>
          </wp:positionH>
          <wp:positionV relativeFrom="page">
            <wp:posOffset>0</wp:posOffset>
          </wp:positionV>
          <wp:extent cx="7178040" cy="8323471"/>
          <wp:effectExtent l="0" t="0" r="0" b="0"/>
          <wp:wrapNone/>
          <wp:docPr id="1" name="Picture 1"/>
          <wp:cNvGraphicFramePr/>
          <a:graphic xmlns:pic="http://schemas.openxmlformats.org/drawingml/2006/picture">
            <a:graphicData uri="http://schemas.openxmlformats.org/drawingml/2006/picture">
              <pic:pic>
                <pic:nvPicPr>
                  <pic:cNvPr id="0" name="cover-art.png"/>
                  <pic:cNvPicPr/>
                </pic:nvPicPr>
                <pic:blipFill>
                  <a:blip r:embed="rId1"/>
                  <a:stretch>
                    <a:fillRect/>
                  </a:stretch>
                </pic:blipFill>
                <pic:spPr>
                  <a:xfrm>
                    <a:off x="0" y="0"/>
                    <a:ext cx="7178040" cy="8323472"/>
                  </a:xfrm>
                  <a:prstGeom prst="rect"/>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Pr>
    <w:r>
      <w:rPr>
        <w:rFonts w:ascii="Times New Roman" w:hAnsi="Times New Roman" w:cs="Times New Roman" w:eastAsia="Times New Roman"/>
        <w:b w:val="0"/>
        <w:i w:val="0"/>
        <w:sz w:val="4"/>
      </w:rPr>
    </w:r>
  </w:p>
  <w:p>
    <w:pPr>
      <w:spacing w:before="1040" w:after="0"/>
      <w:ind w:left="-240" w:right="-240"/>
      <w:pBdr>
        <w:bottom w:val="single" w:sz="6" w:space="1" w:color="000000" w:shadow="1"/>
      </w:pBdr>
    </w:pPr>
    <w:r>
      <w:rPr>
        <w:rFonts w:ascii="Times New Roman" w:hAnsi="Times New Roman" w:cs="Times New Roman" w:eastAsia="Times New Roman"/>
        <w:b w:val="0"/>
        <w:i w:val="0"/>
        <w:sz w:val="4"/>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cs="Times New Roman" w:eastAsia="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cs="Times New Roman" w:eastAsia="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cs="Times New Roman" w:eastAsia="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cs="Times New Roman" w:eastAsia="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40" w:lineRule="auto"/>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tabs>
        <w:tab w:pos="720" w:val="left"/>
      </w:tabs>
      <w:spacing w:before="360" w:after="120"/>
      <w:ind w:left="720" w:hanging="720"/>
      <w:outlineLvl w:val="0"/>
    </w:pPr>
    <w:rPr>
      <w:rFonts w:ascii="Times New Roman" w:hAnsi="Times New Roman" w:cs="Times New Roman" w:eastAsia="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tabs>
        <w:tab w:pos="720" w:val="left"/>
      </w:tabs>
      <w:spacing w:before="240" w:after="80"/>
      <w:ind w:left="720" w:hanging="720"/>
      <w:outlineLvl w:val="1"/>
    </w:pPr>
    <w:rPr>
      <w:rFonts w:ascii="Times New Roman" w:hAnsi="Times New Roman" w:cs="Times New Roman" w:eastAsia="Times New Roman"/>
      <w:b/>
      <w:bCs/>
      <w:i/>
      <w:color w:val="000000"/>
      <w:sz w:val="28"/>
      <w:szCs w:val="26"/>
    </w:rPr>
  </w:style>
  <w:style w:type="paragraph" w:styleId="Heading3">
    <w:name w:val="heading 3"/>
    <w:basedOn w:val="Normal"/>
    <w:next w:val="Normal"/>
    <w:link w:val="Heading3Char"/>
    <w:uiPriority w:val="9"/>
    <w:unhideWhenUsed/>
    <w:qFormat/>
    <w:rsid w:val="00FC693F"/>
    <w:pPr>
      <w:keepNext/>
      <w:keepLines/>
      <w:tabs>
        <w:tab w:pos="720" w:val="left"/>
      </w:tabs>
      <w:spacing w:before="200" w:after="60"/>
      <w:ind w:left="720" w:hanging="720"/>
      <w:outlineLvl w:val="2"/>
    </w:pPr>
    <w:rPr>
      <w:rFonts w:ascii="Times New Roman" w:hAnsi="Times New Roman" w:cs="Times New Roman" w:eastAsia="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Times New Roman" w:hAnsi="Times New Roman" w:cs="Times New Roman" w:eastAsia="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Times New Roman" w:hAnsi="Times New Roman" w:cs="Times New Roman" w:eastAsia="Times New Roman"/>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chart" Target="charts/chart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0"/>
  <c:chart>
    <c:autoTitleDeleted val="1"/>
    <c:plotArea>
      <c:barChart>
        <c:barDir val="bar"/>
        <c:grouping val="stacked"/>
        <c:ser>
          <c:idx val="0"/>
          <c:order val="0"/>
          <c:tx>
            <c:strRef>
              <c:f>Sheet1!$B$1</c:f>
              <c:strCache>
                <c:ptCount val="1"/>
                <c:pt idx="0">
                  <c:v>Start week</c:v>
                </c:pt>
              </c:strCache>
            </c:strRef>
          </c:tx>
          <c:spPr>
            <a:noFill/>
            <a:ln>
              <a:noFill/>
            </a:ln>
          </c:spPr>
          <c:cat>
            <c:strRef>
              <c:f>Sheet1!$A$2:$A$6</c:f>
              <c:strCache>
                <c:ptCount val="5"/>
                <c:pt idx="0">
                  <c:v>Task Area 1: Discovery and Design</c:v>
                </c:pt>
                <c:pt idx="1">
                  <c:v>Task Area 2: Prototype Build</c:v>
                </c:pt>
                <c:pt idx="2">
                  <c:v>Task Area 3: Prototype Evaluation</c:v>
                </c:pt>
                <c:pt idx="3">
                  <c:v>Task Area 4: Pilot (optional)</c:v>
                </c:pt>
                <c:pt idx="4">
                  <c:v>Task Area 5: Production and Rollout (optional)</c:v>
                </c:pt>
              </c:strCache>
            </c:strRef>
          </c:cat>
          <c:val>
            <c:numRef>
              <c:f>Sheet1!$B$2:$B$6</c:f>
              <c:numCache>
                <c:formatCode>0</c:formatCode>
                <c:ptCount val="5"/>
                <c:pt idx="0">
                  <c:v>0</c:v>
                </c:pt>
                <c:pt idx="1">
                  <c:v>4</c:v>
                </c:pt>
                <c:pt idx="2">
                  <c:v>10</c:v>
                </c:pt>
                <c:pt idx="3">
                  <c:v>13</c:v>
                </c:pt>
                <c:pt idx="4">
                  <c:v>25</c:v>
                </c:pt>
              </c:numCache>
            </c:numRef>
          </c:val>
        </c:ser>
        <c:ser>
          <c:idx val="1"/>
          <c:order val="1"/>
          <c:tx>
            <c:strRef>
              <c:f>Sheet1!$C$1</c:f>
              <c:strCache>
                <c:ptCount val="1"/>
                <c:pt idx="0">
                  <c:v>Weeks</c:v>
                </c:pt>
              </c:strCache>
            </c:strRef>
          </c:tx>
          <c:spPr>
            <a:solidFill>
              <a:srgbClr val="5F9E44"/>
            </a:solidFill>
            <a:ln w="9525">
              <a:solidFill>
                <a:srgbClr val="5F9E44"/>
              </a:solidFill>
            </a:ln>
          </c:spPr>
          <c:invertIfNegative val="0"/>
          <c:dPt>
            <c:idx val="3"/>
            <c:invertIfNegative val="0"/>
            <c:bubble3D val="0"/>
            <c:spPr>
              <a:solidFill>
                <a:srgbClr val="DCECC6"/>
              </a:solidFill>
              <a:ln w="9525">
                <a:solidFill>
                  <a:srgbClr val="2F5D27"/>
                </a:solidFill>
                <a:prstDash val="dash"/>
              </a:ln>
            </c:spPr>
          </c:dPt>
          <c:dPt>
            <c:idx val="4"/>
            <c:invertIfNegative val="0"/>
            <c:bubble3D val="0"/>
            <c:spPr>
              <a:solidFill>
                <a:srgbClr val="DCECC6"/>
              </a:solidFill>
              <a:ln w="9525">
                <a:solidFill>
                  <a:srgbClr val="2F5D27"/>
                </a:solidFill>
                <a:prstDash val="dash"/>
              </a:ln>
            </c:spPr>
          </c:dPt>
          <c:dLbls>
            <c:dLbl>
              <c:idx val="0"/>
              <c:numFmt formatCode="0&quot; weeks&quot;" sourceLinked="0"/>
              <c:spPr>
                <a:noFill/>
                <a:ln>
                  <a:noFill/>
                </a:ln>
              </c:spPr>
              <c:txPr>
                <a:bodyPr/>
                <a:lstStyle/>
                <a:p>
                  <a:pPr>
                    <a:defRPr sz="800" b="0">
                      <a:solidFill>
                        <a:srgbClr val="FFFFFF"/>
                      </a:solidFill>
                      <a:latin typeface="Times New Roman"/>
                    </a:defRPr>
                  </a:pPr>
                  <a:endParaRPr lang="en-US"/>
                </a:p>
              </c:txPr>
              <c:dLblPos val="ctr"/>
              <c:showLegendKey val="0"/>
              <c:showVal val="1"/>
              <c:showCatName val="0"/>
              <c:showSerName val="0"/>
              <c:showPercent val="0"/>
              <c:showBubbleSize val="0"/>
            </c:dLbl>
            <c:dLbl>
              <c:idx val="1"/>
              <c:numFmt formatCode="0&quot; weeks&quot;" sourceLinked="0"/>
              <c:spPr>
                <a:noFill/>
                <a:ln>
                  <a:noFill/>
                </a:ln>
              </c:spPr>
              <c:txPr>
                <a:bodyPr/>
                <a:lstStyle/>
                <a:p>
                  <a:pPr>
                    <a:defRPr sz="800" b="0">
                      <a:solidFill>
                        <a:srgbClr val="FFFFFF"/>
                      </a:solidFill>
                      <a:latin typeface="Times New Roman"/>
                    </a:defRPr>
                  </a:pPr>
                  <a:endParaRPr lang="en-US"/>
                </a:p>
              </c:txPr>
              <c:dLblPos val="ctr"/>
              <c:showLegendKey val="0"/>
              <c:showVal val="1"/>
              <c:showCatName val="0"/>
              <c:showSerName val="0"/>
              <c:showPercent val="0"/>
              <c:showBubbleSize val="0"/>
            </c:dLbl>
            <c:dLbl>
              <c:idx val="2"/>
              <c:numFmt formatCode="0&quot; weeks&quot;" sourceLinked="0"/>
              <c:spPr>
                <a:noFill/>
                <a:ln>
                  <a:noFill/>
                </a:ln>
              </c:spPr>
              <c:txPr>
                <a:bodyPr/>
                <a:lstStyle/>
                <a:p>
                  <a:pPr>
                    <a:defRPr sz="800" b="0">
                      <a:solidFill>
                        <a:srgbClr val="FFFFFF"/>
                      </a:solidFill>
                      <a:latin typeface="Times New Roman"/>
                    </a:defRPr>
                  </a:pPr>
                  <a:endParaRPr lang="en-US"/>
                </a:p>
              </c:txPr>
              <c:dLblPos val="ctr"/>
              <c:showLegendKey val="0"/>
              <c:showVal val="1"/>
              <c:showCatName val="0"/>
              <c:showSerName val="0"/>
              <c:showPercent val="0"/>
              <c:showBubbleSize val="0"/>
            </c:dLbl>
            <c:dLbl>
              <c:idx val="3"/>
              <c:numFmt formatCode="0&quot; weeks&quot;" sourceLinked="0"/>
              <c:spPr>
                <a:noFill/>
                <a:ln>
                  <a:noFill/>
                </a:ln>
              </c:spPr>
              <c:txPr>
                <a:bodyPr/>
                <a:lstStyle/>
                <a:p>
                  <a:pPr>
                    <a:defRPr sz="800" b="0">
                      <a:solidFill>
                        <a:srgbClr val="1F2937"/>
                      </a:solidFill>
                      <a:latin typeface="Times New Roman"/>
                    </a:defRPr>
                  </a:pPr>
                  <a:endParaRPr lang="en-US"/>
                </a:p>
              </c:txPr>
              <c:dLblPos val="ctr"/>
              <c:showLegendKey val="0"/>
              <c:showVal val="1"/>
              <c:showCatName val="0"/>
              <c:showSerName val="0"/>
              <c:showPercent val="0"/>
              <c:showBubbleSize val="0"/>
            </c:dLbl>
            <c:dLbl>
              <c:idx val="4"/>
              <c:numFmt formatCode="0&quot; weeks&quot;" sourceLinked="0"/>
              <c:spPr>
                <a:noFill/>
                <a:ln>
                  <a:noFill/>
                </a:ln>
              </c:spPr>
              <c:txPr>
                <a:bodyPr/>
                <a:lstStyle/>
                <a:p>
                  <a:pPr>
                    <a:defRPr sz="800" b="0">
                      <a:solidFill>
                        <a:srgbClr val="1F2937"/>
                      </a:solidFill>
                      <a:latin typeface="Times New Roman"/>
                    </a:defRPr>
                  </a:pPr>
                  <a:endParaRPr lang="en-US"/>
                </a:p>
              </c:txPr>
              <c:dLblPos val="ctr"/>
              <c:showLegendKey val="0"/>
              <c:showVal val="1"/>
              <c:showCatName val="0"/>
              <c:showSerName val="0"/>
              <c:showPercent val="0"/>
              <c:showBubbleSize val="0"/>
            </c:dLbl>
            <c:numFmt formatCode="0&quot; weeks&quot;" sourceLinked="0"/>
            <c:spPr>
              <a:noFill/>
              <a:ln>
                <a:noFill/>
              </a:ln>
            </c:spPr>
            <c:txPr>
              <a:bodyPr/>
              <a:lstStyle/>
              <a:p>
                <a:pPr>
                  <a:defRPr sz="800" b="0">
                    <a:solidFill>
                      <a:srgbClr val="1F2937"/>
                    </a:solidFill>
                    <a:latin typeface="Times New Roman"/>
                  </a:defRPr>
                </a:pPr>
                <a:endParaRPr lang="en-US"/>
              </a:p>
            </c:txPr>
            <c:dLblPos val="ctr"/>
            <c:showLegendKey val="0"/>
            <c:showVal val="1"/>
            <c:showCatName val="0"/>
            <c:showSerName val="0"/>
            <c:showPercent val="0"/>
            <c:showBubbleSize val="0"/>
          </c:dLbls>
          <c:cat>
            <c:strRef>
              <c:f>Sheet1!$A$2:$A$6</c:f>
              <c:strCache>
                <c:ptCount val="5"/>
                <c:pt idx="0">
                  <c:v>Task Area 1: Discovery and Design</c:v>
                </c:pt>
                <c:pt idx="1">
                  <c:v>Task Area 2: Prototype Build</c:v>
                </c:pt>
                <c:pt idx="2">
                  <c:v>Task Area 3: Prototype Evaluation</c:v>
                </c:pt>
                <c:pt idx="3">
                  <c:v>Task Area 4: Pilot (optional)</c:v>
                </c:pt>
                <c:pt idx="4">
                  <c:v>Task Area 5: Production and Rollout (optional)</c:v>
                </c:pt>
              </c:strCache>
            </c:strRef>
          </c:cat>
          <c:val>
            <c:numRef>
              <c:f>Sheet1!$C$2:$C$6</c:f>
              <c:numCache>
                <c:formatCode>0</c:formatCode>
                <c:ptCount val="5"/>
                <c:pt idx="0">
                  <c:v>4</c:v>
                </c:pt>
                <c:pt idx="1">
                  <c:v>6</c:v>
                </c:pt>
                <c:pt idx="2">
                  <c:v>3</c:v>
                </c:pt>
                <c:pt idx="3">
                  <c:v>12</c:v>
                </c:pt>
                <c:pt idx="4">
                  <c:v>16</c:v>
                </c:pt>
              </c:numCache>
            </c:numRef>
          </c:val>
        </c:ser>
        <c:gapWidth val="45"/>
        <c:overlap val="100"/>
        <c:axId val="-2068027336"/>
        <c:axId val="-2113994440"/>
      </c:barChart>
      <c:catAx>
        <c:axId val="-2068027336"/>
        <c:scaling>
          <c:orientation val="maxMin"/>
        </c:scaling>
        <c:delete val="0"/>
        <c:axPos val="l"/>
        <c:majorTickMark val="none"/>
        <c:minorTickMark val="none"/>
        <c:tickLblPos val="nextTo"/>
        <c:spPr>
          <a:ln>
            <a:noFill/>
          </a:ln>
        </c:spPr>
        <c:txPr>
          <a:bodyPr/>
          <a:lstStyle/>
          <a:p>
            <a:pPr>
              <a:defRPr sz="800" b="0">
                <a:solidFill>
                  <a:srgbClr val="1F2937"/>
                </a:solidFill>
                <a:latin typeface="Times New Roman"/>
              </a:defRPr>
            </a:pPr>
            <a:endParaRPr lang="en-US"/>
          </a:p>
        </c:txPr>
        <c:crossAx val="-2113994440"/>
        <c:crosses val="autoZero"/>
        <c:auto val="1"/>
        <c:lblAlgn val="ctr"/>
        <c:lblOffset val="100"/>
        <c:noMultiLvlLbl val="0"/>
      </c:catAx>
      <c:valAx>
        <c:axId val="-2113994440"/>
        <c:scaling>
          <c:orientation val="minMax"/>
          <c:max val="41"/>
          <c:min val="0"/>
        </c:scaling>
        <c:delete val="0"/>
        <c:axPos val="b"/>
        <c:majorGridlines>
          <c:spPr>
            <a:ln w="6350">
              <a:solidFill>
                <a:srgbClr val="D1D5DB"/>
              </a:solidFill>
            </a:ln>
          </c:spPr>
        </c:majorGridlines>
        <c:title>
          <c:tx>
            <c:rich>
              <a:bodyPr/>
              <a:lstStyle/>
              <a:p>
                <a:pPr>
                  <a:defRPr sz="800" b="0">
                    <a:latin typeface="Times New Roman"/>
                  </a:defRPr>
                </a:pPr>
                <a:r>
                  <a:rPr lang="en-US" sz="800" b="0">
                    <a:latin typeface="Times New Roman"/>
                  </a:rPr>
                  <a:t>Weeks after contract award (base schedule)</a:t>
                </a:r>
              </a:p>
            </c:rich>
          </c:tx>
          <c:overlay val="0"/>
        </c:title>
        <c:numFmt formatCode="0" sourceLinked="0"/>
        <c:majorTickMark val="out"/>
        <c:minorTickMark val="none"/>
        <c:tickLblPos val="nextTo"/>
        <c:spPr>
          <a:ln>
            <a:noFill/>
          </a:ln>
        </c:spPr>
        <c:txPr>
          <a:bodyPr/>
          <a:lstStyle/>
          <a:p>
            <a:pPr>
              <a:defRPr sz="800" b="0">
                <a:solidFill>
                  <a:srgbClr val="1F2937"/>
                </a:solidFill>
                <a:latin typeface="Times New Roman"/>
              </a:defRPr>
            </a:pPr>
            <a:endParaRPr lang="en-US"/>
          </a:p>
        </c:txPr>
        <c:crossAx val="-2068027336"/>
        <c:crosses val="autoZero"/>
        <c:crossBetween val="between"/>
        <c:majorUnit val="4"/>
      </c:valAx>
    </c:plotArea>
    <c:dispBlanksAs val="gap"/>
  </c:chart>
  <c:spPr>
    <a:noFill/>
    <a:ln>
      <a:noFill/>
    </a:ln>
  </c:spPr>
  <c:txPr>
    <a:bodyPr/>
    <a:lstStyle/>
    <a:p>
      <a:pPr>
        <a:defRPr sz="800" b="0">
          <a:solidFill>
            <a:srgbClr val="1F2937"/>
          </a:solidFill>
          <a:latin typeface="Times New Roman"/>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Microsoft Macintosh Word</Application>
  <DocSecurity>0</DocSecurity>
  <ScaleCrop>false</ScaleCrop>
  <Manager/>
  <Company/>
  <LinksUpToDate>false</LinksUpToDate>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ICE Agentic Accounts Payable Invoice Intake Automation (Discussion Document, Draft v0.3)</dc:title>
  <dc:subject>ICE Agentic Accounts Payable Invoice Intake Automation</dc:subject>
  <dc:creator>Guidehouse</dc:creator>
  <cp:keywords/>
  <dc:description/>
  <cp:lastModifiedBy>Guidehouse</cp:lastModifiedBy>
  <cp:revision>1</cp:revision>
  <dcterms:created xsi:type="dcterms:W3CDTF">2026-10-12T12:00:00Z</dcterms:created>
  <dcterms:modified xsi:type="dcterms:W3CDTF">2026-10-16T12:00:00Z</dcterms:modified>
  <cp:category/>
  <cp:lastPrinted>2026-10-12T12:00:00Z</cp:lastPrinted>
</cp:coreProperties>
</file>