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jc w:val="left"/>
      </w:pPr>
      <w:r>
        <w:rPr>
          <w:rFonts w:ascii="Heiti SC" w:hAnsi="Heiti SC" w:eastAsia="Heiti SC" w:cs="Heiti SC" w:hint="eastAsia"/>
          <w:b/>
          <w:color w:val="165DFF"/>
          <w:sz w:val="48"/>
        </w:rPr>
        <w:t>动态本体 OSDK 可信数据产品 Demo：演示说明与架构说明</w:t>
      </w:r>
    </w:p>
    <w:p>
      <w:r>
        <w:rPr>
          <w:rFonts w:ascii="Heiti SC" w:hAnsi="Heiti SC" w:eastAsia="Heiti SC" w:cs="Heiti SC" w:hint="eastAsia"/>
          <w:b w:val="0"/>
        </w:rPr>
        <w:t>版本：2026-07-16 项目仓库：seanzhang9999/dynamic-ontology-osdk-prototype (https://github.com/seanzhang9999/dynamic-ontology-osdk-prototype) 本地演示入口：`http://127.0.0.1:5173/`</w:t>
      </w:r>
    </w:p>
    <w:p>
      <w:pPr>
        <w:pStyle w:val="Heading2"/>
      </w:pPr>
      <w:r>
        <w:rPr>
          <w:rFonts w:ascii="Heiti SC" w:hAnsi="Heiti SC" w:eastAsia="Heiti SC" w:cs="Heiti SC" w:hint="eastAsia"/>
        </w:rPr>
        <w:t>0. 核心判断</w:t>
      </w:r>
    </w:p>
    <w:p>
      <w:r>
        <w:rPr>
          <w:rFonts w:ascii="Heiti SC" w:hAnsi="Heiti SC" w:eastAsia="Heiti SC" w:cs="Heiti SC" w:hint="eastAsia"/>
          <w:b w:val="0"/>
        </w:rPr>
        <w:t>这个 Demo 不应被理解为“做了一个 SDK”。更准确的表达是：</w:t>
      </w:r>
    </w:p>
    <w:p>
      <w:pPr>
        <w:spacing w:before="40" w:after="180"/>
        <w:ind w:left="259"/>
      </w:pPr>
      <w:r>
        <w:rPr>
          <w:rFonts w:ascii="Heiti SC" w:hAnsi="Heiti SC" w:eastAsia="Heiti SC" w:cs="Heiti SC" w:hint="eastAsia"/>
          <w:i/>
          <w:color w:val="1E40AF"/>
          <w:sz w:val="20"/>
        </w:rPr>
        <w:t>用动态本体把异构数据能力编译成可被 Agent 安全调用的数据产品接口；OSDK 是这个接口的开发者体验，可信数据空间网关、Runtime、Policy 和 Receipt 才共同构成可信执行闭环。</w:t>
      </w:r>
    </w:p>
    <w:p>
      <w:r>
        <w:rPr>
          <w:rFonts w:ascii="Heiti SC" w:hAnsi="Heiti SC" w:eastAsia="Heiti SC" w:cs="Heiti SC" w:hint="eastAsia"/>
          <w:b w:val="0"/>
        </w:rPr>
        <w:t>OSDK 客户端本身并不复杂。它主要是类型化方法、参数校验、动作封装和 Runtime/Gateway 调用，类似“对象映射 + API Client + Schema Validation + 代码生成”。真正的工程难度在于 OSDK 背后的机制：</w:t>
      </w:r>
    </w:p>
    <w:p>
      <w:pPr>
        <w:pStyle w:val="ListBullet"/>
      </w:pPr>
      <w:r>
        <w:rPr>
          <w:rFonts w:ascii="Heiti SC" w:hAnsi="Heiti SC" w:eastAsia="Heiti SC" w:cs="Heiti SC" w:hint="eastAsia"/>
          <w:b w:val="0"/>
        </w:rPr>
        <w:t>动态本体如何表达对象、字段、关系、动作、分类分级和质量规则。</w:t>
      </w:r>
    </w:p>
    <w:p>
      <w:pPr>
        <w:pStyle w:val="ListBullet"/>
      </w:pPr>
      <w:r>
        <w:rPr>
          <w:rFonts w:ascii="Heiti SC" w:hAnsi="Heiti SC" w:eastAsia="Heiti SC" w:cs="Heiti SC" w:hint="eastAsia"/>
          <w:b w:val="0"/>
        </w:rPr>
        <w:t>Product Compiler 如何从全量本体裁剪出某个产品允许暴露的接口。</w:t>
      </w:r>
    </w:p>
    <w:p>
      <w:pPr>
        <w:pStyle w:val="ListBullet"/>
      </w:pPr>
      <w:r>
        <w:rPr>
          <w:rFonts w:ascii="Heiti SC" w:hAnsi="Heiti SC" w:eastAsia="Heiti SC" w:cs="Heiti SC" w:hint="eastAsia"/>
          <w:b w:val="0"/>
        </w:rPr>
        <w:t>Runtime Binding 如何把本体动作稳定绑定到底层异构表、GIS、文件、API 或流式数据。</w:t>
      </w:r>
    </w:p>
    <w:p>
      <w:pPr>
        <w:pStyle w:val="ListBullet"/>
      </w:pPr>
      <w:r>
        <w:rPr>
          <w:rFonts w:ascii="Heiti SC" w:hAnsi="Heiti SC" w:eastAsia="Heiti SC" w:cs="Heiti SC" w:hint="eastAsia"/>
          <w:b w:val="0"/>
        </w:rPr>
        <w:t>Policy/Entitlement 如何判断谁能为哪个用途调用哪个产品。</w:t>
      </w:r>
    </w:p>
    <w:p>
      <w:pPr>
        <w:pStyle w:val="ListBullet"/>
      </w:pPr>
      <w:r>
        <w:rPr>
          <w:rFonts w:ascii="Heiti SC" w:hAnsi="Heiti SC" w:eastAsia="Heiti SC" w:cs="Heiti SC" w:hint="eastAsia"/>
          <w:b w:val="0"/>
        </w:rPr>
        <w:t>可信数据空间网关如何做身份、签名、路由、审计和跨域边界控制。</w:t>
      </w:r>
    </w:p>
    <w:p>
      <w:pPr>
        <w:pStyle w:val="ListBullet"/>
      </w:pPr>
      <w:r>
        <w:rPr>
          <w:rFonts w:ascii="Heiti SC" w:hAnsi="Heiti SC" w:eastAsia="Heiti SC" w:cs="Heiti SC" w:hint="eastAsia"/>
          <w:b w:val="0"/>
        </w:rPr>
        <w:t>Receipt 如何证明一次结果来自指定授权、应用、本体版本、产品版本和 Runtime。</w:t>
      </w:r>
    </w:p>
    <w:p>
      <w:r>
        <w:rPr>
          <w:rFonts w:ascii="Heiti SC" w:hAnsi="Heiti SC" w:eastAsia="Heiti SC" w:cs="Heiti SC" w:hint="eastAsia"/>
          <w:b w:val="0"/>
        </w:rPr>
        <w:t>因此，Demo 的主线应该是：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fill="F6F8FA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color w:val="111827"/>
                <w:sz w:val="16"/>
              </w:rPr>
              <w:t>Agent 不直接查数据库，而是发现并调用 Product OSDK。</w:t>
              <w:br/>
              <w:t>OSDK 不暴露 SQL、连接串、原始文件或底层表字段，只暴露命名动作。</w:t>
              <w:br/>
              <w:t>可信数据空间网关和 Provider Runtime 在数据域内完成授权校验、本体映射、实际计算和凭证签名。</w:t>
            </w:r>
          </w:p>
        </w:tc>
      </w:tr>
    </w:tbl>
    <w:p/>
    <w:p>
      <w:pPr>
        <w:pStyle w:val="Heading2"/>
      </w:pPr>
      <w:r>
        <w:rPr>
          <w:rFonts w:ascii="Heiti SC" w:hAnsi="Heiti SC" w:eastAsia="Heiti SC" w:cs="Heiti SC" w:hint="eastAsia"/>
        </w:rPr>
        <w:t>1. 演示页面如何组织</w:t>
      </w:r>
    </w:p>
    <w:p>
      <w:r>
        <w:rPr>
          <w:rFonts w:ascii="Heiti SC" w:hAnsi="Heiti SC" w:eastAsia="Heiti SC" w:cs="Heiti SC" w:hint="eastAsia"/>
          <w:b w:val="0"/>
        </w:rPr>
        <w:t>当前 Demo Console 分为四个主要视图：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2FF"/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b/>
                <w:color w:val="1E40AF"/>
                <w:sz w:val="18"/>
              </w:rPr>
              <w:t>视图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2FF"/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b/>
                <w:color w:val="1E40AF"/>
                <w:sz w:val="18"/>
              </w:rPr>
              <w:t>主要问题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2FF"/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b/>
                <w:color w:val="1E40AF"/>
                <w:sz w:val="18"/>
              </w:rPr>
              <w:t>证明点</w:t>
            </w:r>
          </w:p>
        </w:tc>
      </w:tr>
      <w:tr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用电征信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银行如何查询企业用电征信数据产品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同一 OSDK 动作可分别进入国家电网和综合能源两个异构 Provider Runtime 执行，原始数据不出域</w:t>
            </w:r>
          </w:p>
        </w:tc>
      </w:tr>
      <w:tr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长春开挖风险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施工方如何评估开挖风险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外部只提交工程参数，Runtime 内部使用管线坐标和规则计算风险，精确坐标不输出</w:t>
            </w:r>
          </w:p>
        </w:tc>
      </w:tr>
      <w:tr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动态本体运维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本体到底是什么，OSDK 为什么只暴露一部分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全量动态本体经过用途、分类分级、质量门槛和产品投影编译，生成收缩后的 Product OSDK</w:t>
            </w:r>
          </w:p>
        </w:tc>
      </w:tr>
      <w:tr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部署视图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OSDK 在哪里运行，如何经可信网络调用 Runtime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OSDK workload 可以在客户侧运行，也可以在我方独立沙箱运行，但都必须经可信数据空间网关访问 Runtime</w:t>
            </w:r>
          </w:p>
        </w:tc>
      </w:tr>
    </w:tbl>
    <w:p/>
    <w:p>
      <w:r>
        <w:rPr>
          <w:rFonts w:ascii="Heiti SC" w:hAnsi="Heiti SC" w:eastAsia="Heiti SC" w:cs="Heiti SC" w:hint="eastAsia"/>
          <w:b w:val="0"/>
        </w:rPr>
        <w:t>页面的基本阅读顺序是：</w:t>
      </w:r>
    </w:p>
    <w:p>
      <w:pPr>
        <w:pStyle w:val="ListNumber"/>
      </w:pPr>
      <w:r>
        <w:rPr>
          <w:rFonts w:ascii="Heiti SC" w:hAnsi="Heiti SC" w:eastAsia="Heiti SC" w:cs="Heiti SC" w:hint="eastAsia"/>
          <w:b w:val="0"/>
        </w:rPr>
        <w:t>先看顶部 Agent 价值闭环，理解每个环节解决什么问题。</w:t>
      </w:r>
    </w:p>
    <w:p>
      <w:pPr>
        <w:pStyle w:val="ListNumber"/>
      </w:pPr>
      <w:r>
        <w:rPr>
          <w:rFonts w:ascii="Heiti SC" w:hAnsi="Heiti SC" w:eastAsia="Heiti SC" w:cs="Heiti SC" w:hint="eastAsia"/>
          <w:b w:val="0"/>
        </w:rPr>
        <w:t>再进入某个业务场景，选择企业或工程参数，触发查询/评估。</w:t>
      </w:r>
    </w:p>
    <w:p>
      <w:pPr>
        <w:pStyle w:val="ListNumber"/>
      </w:pPr>
      <w:r>
        <w:rPr>
          <w:rFonts w:ascii="Heiti SC" w:hAnsi="Heiti SC" w:eastAsia="Heiti SC" w:cs="Heiti SC" w:hint="eastAsia"/>
          <w:b w:val="0"/>
        </w:rPr>
        <w:t>左侧看业务结果、本体结构和底层数据样例。</w:t>
      </w:r>
    </w:p>
    <w:p>
      <w:pPr>
        <w:pStyle w:val="ListNumber"/>
      </w:pPr>
      <w:r>
        <w:rPr>
          <w:rFonts w:ascii="Heiti SC" w:hAnsi="Heiti SC" w:eastAsia="Heiti SC" w:cs="Heiti SC" w:hint="eastAsia"/>
          <w:b w:val="0"/>
        </w:rPr>
        <w:t>右侧看实时执行步骤，理解 OSDK、Gateway、Policy、Runtime 和 Receipt 如何协作。</w:t>
      </w:r>
    </w:p>
    <w:p>
      <w:pPr>
        <w:pStyle w:val="ListNumber"/>
      </w:pPr>
      <w:r>
        <w:rPr>
          <w:rFonts w:ascii="Heiti SC" w:hAnsi="Heiti SC" w:eastAsia="Heiti SC" w:cs="Heiti SC" w:hint="eastAsia"/>
          <w:b w:val="0"/>
        </w:rPr>
        <w:t>最后进入动态本体运维和部署视图，说明接口为什么会变化、运行边界在哪里。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6512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agent-value-and-power-workbench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65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Heiti SC" w:hAnsi="Heiti SC" w:eastAsia="Heiti SC" w:cs="Heiti SC" w:hint="eastAsia"/>
          <w:color w:val="475569"/>
          <w:sz w:val="17"/>
        </w:rPr>
        <w:t>图：Agent 价值闭环与用电征信工作台</w:t>
      </w:r>
    </w:p>
    <w:p>
      <w:pPr>
        <w:pStyle w:val="Heading2"/>
      </w:pPr>
      <w:r>
        <w:rPr>
          <w:rFonts w:ascii="Heiti SC" w:hAnsi="Heiti SC" w:eastAsia="Heiti SC" w:cs="Heiti SC" w:hint="eastAsia"/>
        </w:rPr>
        <w:t>2. Agent 价值闭环</w:t>
      </w:r>
    </w:p>
    <w:p>
      <w:r>
        <w:rPr>
          <w:rFonts w:ascii="Heiti SC" w:hAnsi="Heiti SC" w:eastAsia="Heiti SC" w:cs="Heiti SC" w:hint="eastAsia"/>
          <w:b w:val="0"/>
        </w:rPr>
        <w:t>Agent 的价值不在于“能调用一个 API”，而在于它可以在受控边界内自动完成发现、授权、编排、适配和验证。</w:t>
      </w:r>
    </w:p>
    <w:p>
      <w:pPr>
        <w:spacing w:after="40"/>
      </w:pPr>
      <w:r>
        <w:rPr>
          <w:rFonts w:ascii="Heiti SC" w:hAnsi="Heiti SC" w:eastAsia="Heiti SC" w:cs="Heiti SC" w:hint="eastAsia"/>
          <w:b/>
          <w:color w:val="475569"/>
          <w:sz w:val="18"/>
        </w:rPr>
        <w:t>Mermaid 源图（Markdown 中可直接渲染）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fill="F6F8FA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color w:val="111827"/>
                <w:sz w:val="16"/>
              </w:rPr>
              <w:t>flowchart LR</w:t>
              <w:br/>
              <w:t xml:space="preserve">    Discover["发现&lt;br/&gt;读取产品目录、OSDK、MCP 描述"] --&gt; Authorize["授权&lt;br/&gt;按用途、主体、Provider、期限申请 entitlement"]</w:t>
              <w:br/>
              <w:t xml:space="preserve">    Authorize --&gt; Orchestrate["编排&lt;br/&gt;跨 Provider 调用同一产品动作"]</w:t>
              <w:br/>
              <w:t xml:space="preserve">    Orchestrate --&gt; Adapt["适配&lt;br/&gt;本体分类变化后重新读取新 OSDK"]</w:t>
              <w:br/>
              <w:t xml:space="preserve">    Adapt --&gt; Verify["验证&lt;br/&gt;校验 receipt、签名、hash 和版本"]</w:t>
              <w:br/>
              <w:t xml:space="preserve">    Verify --&gt; Discover</w:t>
            </w:r>
          </w:p>
        </w:tc>
      </w:tr>
    </w:tbl>
    <w:p/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2FF"/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b/>
                <w:color w:val="1E40AF"/>
                <w:sz w:val="18"/>
              </w:rPr>
              <w:t>环节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2FF"/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b/>
                <w:color w:val="1E40AF"/>
                <w:sz w:val="18"/>
              </w:rPr>
              <w:t>Agent 做什么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2FF"/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b/>
                <w:color w:val="1E40AF"/>
                <w:sz w:val="18"/>
              </w:rPr>
              <w:t>平台保证什么</w:t>
            </w:r>
          </w:p>
        </w:tc>
      </w:tr>
      <w:tr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发现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读取产品目录、OSDK/MCP 描述，知道有哪些可信数据产品可调用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产品能力以机器可读形式发布，不要求 Agent 猜表结构</w:t>
            </w:r>
          </w:p>
        </w:tc>
      </w:tr>
      <w:tr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授权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按用途、数据域、调用方和期限申请 entitlement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Policy Service 统一判断授权是否存在、过期、撤销、超配额</w:t>
            </w:r>
          </w:p>
        </w:tc>
      </w:tr>
      <w:tr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编排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调用同一产品动作访问多个 Provider Runtime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OSDK 不接触连接串、SQL、原始文件或底层表字段</w:t>
            </w:r>
          </w:p>
        </w:tc>
      </w:tr>
      <w:tr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适配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本体分类变化后重新读取新 OSDK，避开已收缩接口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Product Compiler 重新生成接口，禁止字段不会泄漏</w:t>
            </w:r>
          </w:p>
        </w:tc>
      </w:tr>
      <w:tr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验证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拿到结果后验证 receipt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Receipt 记录授权、应用、本体、产品、Runtime、输入输出 hash 和签名</w:t>
            </w:r>
          </w:p>
        </w:tc>
      </w:tr>
    </w:tbl>
    <w:p/>
    <w:p>
      <w:r>
        <w:rPr>
          <w:rFonts w:ascii="Heiti SC" w:hAnsi="Heiti SC" w:eastAsia="Heiti SC" w:cs="Heiti SC" w:hint="eastAsia"/>
          <w:b w:val="0"/>
        </w:rPr>
        <w:t>这个闭环对应 Demo 页面上的四类信息：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2FF"/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b/>
                <w:color w:val="1E40AF"/>
                <w:sz w:val="18"/>
              </w:rPr>
              <w:t>页面区域</w:t>
            </w:r>
          </w:p>
        </w:tc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2FF"/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b/>
                <w:color w:val="1E40AF"/>
                <w:sz w:val="18"/>
              </w:rPr>
              <w:t>对应价值</w:t>
            </w:r>
          </w:p>
        </w:tc>
      </w:tr>
      <w:tr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顶部价值说明和产品目录</w:t>
            </w:r>
          </w:p>
        </w:tc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发现</w:t>
            </w:r>
          </w:p>
        </w:tc>
      </w:tr>
      <w:tr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授权编号、用途、期限、调用方、Provider</w:t>
            </w:r>
          </w:p>
        </w:tc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授权</w:t>
            </w:r>
          </w:p>
        </w:tc>
      </w:tr>
      <w:tr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OSDK 调用代码、实时执行步骤</w:t>
            </w:r>
          </w:p>
        </w:tc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编排</w:t>
            </w:r>
          </w:p>
        </w:tc>
      </w:tr>
      <w:tr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动态本体运维中的编译裁剪结果</w:t>
            </w:r>
          </w:p>
        </w:tc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适配</w:t>
            </w:r>
          </w:p>
        </w:tc>
      </w:tr>
      <w:tr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凭证中心、hash、签名、Receipt Verifier</w:t>
            </w:r>
          </w:p>
        </w:tc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验证</w:t>
            </w:r>
          </w:p>
        </w:tc>
      </w:tr>
    </w:tbl>
    <w:p/>
    <w:p>
      <w:pPr>
        <w:pStyle w:val="Heading2"/>
      </w:pPr>
      <w:r>
        <w:rPr>
          <w:rFonts w:ascii="Heiti SC" w:hAnsi="Heiti SC" w:eastAsia="Heiti SC" w:cs="Heiti SC" w:hint="eastAsia"/>
        </w:rPr>
        <w:t>3. 总体框架结构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74920" cy="320521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gent-value-framework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74920" cy="32052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Heiti SC" w:hAnsi="Heiti SC" w:eastAsia="Heiti SC" w:cs="Heiti SC" w:hint="eastAsia"/>
          <w:color w:val="475569"/>
          <w:sz w:val="17"/>
        </w:rPr>
        <w:t>图：Agent 价值和框架结构图</w:t>
      </w:r>
    </w:p>
    <w:p>
      <w:pPr>
        <w:spacing w:after="40"/>
      </w:pPr>
      <w:r>
        <w:rPr>
          <w:rFonts w:ascii="Heiti SC" w:hAnsi="Heiti SC" w:eastAsia="Heiti SC" w:cs="Heiti SC" w:hint="eastAsia"/>
          <w:b/>
          <w:color w:val="475569"/>
          <w:sz w:val="18"/>
        </w:rPr>
        <w:t>Mermaid 源图（Markdown 中可直接渲染）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fill="F6F8FA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color w:val="111827"/>
                <w:sz w:val="16"/>
              </w:rPr>
              <w:t>flowchart TB</w:t>
              <w:br/>
              <w:t xml:space="preserve">    subgraph Experience["体验层"]</w:t>
              <w:br/>
              <w:t xml:space="preserve">        Agent["Agent / 业务应用"]</w:t>
              <w:br/>
              <w:t xml:space="preserve">        Console["Demo Console"]</w:t>
              <w:br/>
              <w:t xml:space="preserve">    end</w:t>
              <w:br/>
              <w:br/>
              <w:t xml:space="preserve">    subgraph Interface["产品接口层"]</w:t>
              <w:br/>
              <w:t xml:space="preserve">        Catalog["Product Catalog"]</w:t>
              <w:br/>
              <w:t xml:space="preserve">        OSDK["Generated Product OSDK"]</w:t>
              <w:br/>
              <w:t xml:space="preserve">        MCP["MCP Tool / OpenAPI"]</w:t>
              <w:br/>
              <w:t xml:space="preserve">    end</w:t>
              <w:br/>
              <w:br/>
              <w:t xml:space="preserve">    subgraph Trust["可信执行与网络层"]</w:t>
              <w:br/>
              <w:t xml:space="preserve">        Gateway["可信数据空间网关"]</w:t>
              <w:br/>
              <w:t xml:space="preserve">        Policy["Policy / Entitlement"]</w:t>
              <w:br/>
              <w:t xml:space="preserve">        Sandbox["OSDK Workload Sandbox"]</w:t>
              <w:br/>
              <w:t xml:space="preserve">        Audit["Audit / Receipt"]</w:t>
              <w:br/>
              <w:t xml:space="preserve">    end</w:t>
              <w:br/>
              <w:br/>
              <w:t xml:space="preserve">    subgraph Runtime["数据域 Runtime 层"]</w:t>
              <w:br/>
              <w:t xml:space="preserve">        Binding["Runtime Binding"]</w:t>
              <w:br/>
              <w:t xml:space="preserve">        Action["Ontology Action"]</w:t>
              <w:br/>
              <w:t xml:space="preserve">        Compute["Local Controlled Compute"]</w:t>
              <w:br/>
              <w:t xml:space="preserve">    end</w:t>
              <w:br/>
              <w:br/>
              <w:t xml:space="preserve">    subgraph Ontology["动态本体与治理层"]</w:t>
              <w:br/>
              <w:t xml:space="preserve">        DOIR["DOIR Registry"]</w:t>
              <w:br/>
              <w:t xml:space="preserve">        Projection["Product Projection"]</w:t>
              <w:br/>
              <w:t xml:space="preserve">        Compiler["Product Compiler"]</w:t>
              <w:br/>
              <w:t xml:space="preserve">        Classify["分类分级 / 质量规则"]</w:t>
              <w:br/>
              <w:t xml:space="preserve">    end</w:t>
              <w:br/>
              <w:br/>
              <w:t xml:space="preserve">    subgraph Data["底层数据层"]</w:t>
              <w:br/>
              <w:t xml:space="preserve">        Tables["业务表 / 账单 / 缴费"]</w:t>
              <w:br/>
              <w:t xml:space="preserve">        GIS["GIS / 管线 / 监测"]</w:t>
              <w:br/>
              <w:t xml:space="preserve">        Files["文件 / API / 流数据"]</w:t>
              <w:br/>
              <w:t xml:space="preserve">    end</w:t>
              <w:br/>
              <w:br/>
              <w:t xml:space="preserve">    Agent --&gt; Catalog</w:t>
              <w:br/>
              <w:t xml:space="preserve">    Agent --&gt; OSDK</w:t>
              <w:br/>
              <w:t xml:space="preserve">    Console --&gt; Catalog</w:t>
              <w:br/>
              <w:t xml:space="preserve">    OSDK --&gt; Gateway</w:t>
              <w:br/>
              <w:t xml:space="preserve">    MCP --&gt; Gateway</w:t>
              <w:br/>
              <w:t xml:space="preserve">    Gateway --&gt; Policy</w:t>
              <w:br/>
              <w:t xml:space="preserve">    Gateway --&gt; Sandbox</w:t>
              <w:br/>
              <w:t xml:space="preserve">    Gateway --&gt; Binding</w:t>
              <w:br/>
              <w:t xml:space="preserve">    Binding --&gt; Action</w:t>
              <w:br/>
              <w:t xml:space="preserve">    Action --&gt; Compute</w:t>
              <w:br/>
              <w:t xml:space="preserve">    Compute --&gt; Tables</w:t>
              <w:br/>
              <w:t xml:space="preserve">    Compute --&gt; GIS</w:t>
              <w:br/>
              <w:t xml:space="preserve">    Compute --&gt; Files</w:t>
              <w:br/>
              <w:t xml:space="preserve">    Compute --&gt; Audit</w:t>
              <w:br/>
              <w:t xml:space="preserve">    Audit --&gt; Gateway</w:t>
              <w:br/>
              <w:t xml:space="preserve">    DOIR --&gt; Projection</w:t>
              <w:br/>
              <w:t xml:space="preserve">    Projection --&gt; Compiler</w:t>
              <w:br/>
              <w:t xml:space="preserve">    Classify --&gt; Compiler</w:t>
              <w:br/>
              <w:t xml:space="preserve">    Compiler --&gt; Catalog</w:t>
              <w:br/>
              <w:t xml:space="preserve">    Compiler --&gt; OSDK</w:t>
              <w:br/>
              <w:t xml:space="preserve">    Compiler --&gt; MCP</w:t>
              <w:br/>
              <w:t xml:space="preserve">    Compiler --&gt; Binding</w:t>
            </w:r>
          </w:p>
        </w:tc>
      </w:tr>
    </w:tbl>
    <w:p/>
    <w:p>
      <w:r>
        <w:rPr>
          <w:rFonts w:ascii="Heiti SC" w:hAnsi="Heiti SC" w:eastAsia="Heiti SC" w:cs="Heiti SC" w:hint="eastAsia"/>
          <w:b w:val="0"/>
        </w:rPr>
        <w:t>分层解释：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2FF"/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b/>
                <w:color w:val="1E40AF"/>
                <w:sz w:val="18"/>
              </w:rPr>
              <w:t>层</w:t>
            </w:r>
          </w:p>
        </w:tc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2FF"/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b/>
                <w:color w:val="1E40AF"/>
                <w:sz w:val="18"/>
              </w:rPr>
              <w:t>作用</w:t>
            </w:r>
          </w:p>
        </w:tc>
      </w:tr>
      <w:tr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体验层</w:t>
            </w:r>
          </w:p>
        </w:tc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给业务人员、开发者和 Agent 展示产品、结果、执行过程和凭证</w:t>
            </w:r>
          </w:p>
        </w:tc>
      </w:tr>
      <w:tr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产品接口层</w:t>
            </w:r>
          </w:p>
        </w:tc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把数据产品发布成 Product Catalog、OSDK、MCP Tool 和 OpenAPI</w:t>
            </w:r>
          </w:p>
        </w:tc>
      </w:tr>
      <w:tr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可信执行与网络层</w:t>
            </w:r>
          </w:p>
        </w:tc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负责身份、授权、签名、路由、沙箱隔离、审计和凭证</w:t>
            </w:r>
          </w:p>
        </w:tc>
      </w:tr>
      <w:tr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Runtime 层</w:t>
            </w:r>
          </w:p>
        </w:tc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在数据域内执行命名动作，完成本体映射和本地受控计算</w:t>
            </w:r>
          </w:p>
        </w:tc>
      </w:tr>
      <w:tr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动态本体与治理层</w:t>
            </w:r>
          </w:p>
        </w:tc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维护对象、字段、关系、动作、分类分级、质量规则和产品投影</w:t>
            </w:r>
          </w:p>
        </w:tc>
      </w:tr>
      <w:tr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底层数据层</w:t>
            </w:r>
          </w:p>
        </w:tc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真实数据所在位置，可以是表、GIS、文件、API 或流式数据</w:t>
            </w:r>
          </w:p>
        </w:tc>
      </w:tr>
    </w:tbl>
    <w:p/>
    <w:p>
      <w:pPr>
        <w:pStyle w:val="Heading2"/>
      </w:pPr>
      <w:r>
        <w:rPr>
          <w:rFonts w:ascii="Heiti SC" w:hAnsi="Heiti SC" w:eastAsia="Heiti SC" w:cs="Heiti SC" w:hint="eastAsia"/>
        </w:rPr>
        <w:t>4. OSDK 的实际情况</w:t>
      </w:r>
    </w:p>
    <w:p>
      <w:pPr>
        <w:pStyle w:val="Heading3"/>
      </w:pPr>
      <w:r>
        <w:rPr>
          <w:rFonts w:ascii="Heiti SC" w:hAnsi="Heiti SC" w:eastAsia="Heiti SC" w:cs="Heiti SC" w:hint="eastAsia"/>
        </w:rPr>
        <w:t>4.1 OSDK 是什么</w:t>
      </w:r>
    </w:p>
    <w:p>
      <w:r>
        <w:rPr>
          <w:rFonts w:ascii="Heiti SC" w:hAnsi="Heiti SC" w:eastAsia="Heiti SC" w:cs="Heiti SC" w:hint="eastAsia"/>
          <w:b w:val="0"/>
        </w:rPr>
        <w:t>Product OSDK 是由动态本体和产品投影生成的“受控调用面”。它把一个数据产品暴露成开发者和 Agent 容易理解的类型化方法，例如：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fill="F6F8FA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color w:val="111827"/>
                <w:sz w:val="16"/>
              </w:rPr>
              <w:t>class EnterpriseEnergyCreditClient:</w:t>
              <w:br/>
              <w:t xml:space="preserve">    def __init__(self, runtime):</w:t>
              <w:br/>
              <w:t xml:space="preserve">        self.runtime = runtime</w:t>
              <w:br/>
              <w:br/>
              <w:t xml:space="preserve">    def compute_credit_features(</w:t>
              <w:br/>
              <w:t xml:space="preserve">        self,</w:t>
              <w:br/>
              <w:t xml:space="preserve">        enterprise_id: str,</w:t>
              <w:br/>
              <w:t xml:space="preserve">        months: int,</w:t>
              <w:br/>
              <w:t xml:space="preserve">        entitlement_id: str,</w:t>
              <w:br/>
              <w:t xml:space="preserve">    ) -&gt; CreditResult:</w:t>
              <w:br/>
              <w:t xml:space="preserve">        payload = {</w:t>
              <w:br/>
              <w:t xml:space="preserve">            "enterprise_id": enterprise_id,</w:t>
              <w:br/>
              <w:t xml:space="preserve">            "months": months,</w:t>
              <w:br/>
              <w:t xml:space="preserve">            "entitlement_id": entitlement_id,</w:t>
              <w:br/>
              <w:t xml:space="preserve">        }</w:t>
              <w:br/>
              <w:t xml:space="preserve">        return self.runtime.execute_action(</w:t>
              <w:br/>
              <w:t xml:space="preserve">            product_id="enterprise-energy-credit",</w:t>
              <w:br/>
              <w:t xml:space="preserve">            action_id="compute_credit_features",</w:t>
              <w:br/>
              <w:t xml:space="preserve">            payload=payload,</w:t>
              <w:br/>
              <w:t xml:space="preserve">        )</w:t>
            </w:r>
          </w:p>
        </w:tc>
      </w:tr>
    </w:tbl>
    <w:p/>
    <w:p>
      <w:r>
        <w:rPr>
          <w:rFonts w:ascii="Heiti SC" w:hAnsi="Heiti SC" w:eastAsia="Heiti SC" w:cs="Heiti SC" w:hint="eastAsia"/>
          <w:b w:val="0"/>
        </w:rPr>
        <w:t>Agent 或业务应用看到的是：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fill="F6F8FA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color w:val="111827"/>
                <w:sz w:val="16"/>
              </w:rPr>
              <w:t>client = EnterpriseEnergyCreditClient(runtime=gateway_runtime)</w:t>
              <w:br/>
              <w:br/>
              <w:t>result = client.compute_credit_features(</w:t>
              <w:br/>
              <w:t xml:space="preserve">    enterprise_id="91300000DEMO0007",</w:t>
              <w:br/>
              <w:t xml:space="preserve">    months=12,</w:t>
              <w:br/>
              <w:t xml:space="preserve">    entitlement_id="ent_cddf8c7d872e",</w:t>
              <w:br/>
              <w:t>)</w:t>
            </w:r>
          </w:p>
        </w:tc>
      </w:tr>
    </w:tbl>
    <w:p/>
    <w:p>
      <w:pPr>
        <w:pStyle w:val="Heading3"/>
      </w:pPr>
      <w:r>
        <w:rPr>
          <w:rFonts w:ascii="Heiti SC" w:hAnsi="Heiti SC" w:eastAsia="Heiti SC" w:cs="Heiti SC" w:hint="eastAsia"/>
        </w:rPr>
        <w:t>4.2 entitlement_id 是什么</w:t>
      </w:r>
    </w:p>
    <w:p>
      <w:r>
        <w:rPr>
          <w:rFonts w:ascii="Heiti SC" w:hAnsi="Heiti SC" w:eastAsia="Heiti SC" w:cs="Heiti SC" w:hint="eastAsia"/>
          <w:b w:val="0"/>
        </w:rPr>
        <w:t>`entitlement_id` 是一次授权许可的编号，不是业务字段，也不是企业 ID。它代表“谁、为了什么用途、在什么期限内、可以调用哪个产品、访问哪个 Provider、输出到什么粒度”。</w:t>
      </w:r>
    </w:p>
    <w:p>
      <w:r>
        <w:rPr>
          <w:rFonts w:ascii="Heiti SC" w:hAnsi="Heiti SC" w:eastAsia="Heiti SC" w:cs="Heiti SC" w:hint="eastAsia"/>
          <w:b w:val="0"/>
        </w:rPr>
        <w:t>在执行链路中，`entitlement_id` 会被用在三个位置：</w:t>
      </w:r>
    </w:p>
    <w:p>
      <w:pPr>
        <w:pStyle w:val="ListNumber"/>
      </w:pPr>
      <w:r>
        <w:rPr>
          <w:rFonts w:ascii="Heiti SC" w:hAnsi="Heiti SC" w:eastAsia="Heiti SC" w:cs="Heiti SC" w:hint="eastAsia"/>
          <w:b w:val="0"/>
        </w:rPr>
        <w:t>OSDK 把它作为 payload 的一部分传给 Gateway/Runtime。</w:t>
      </w:r>
    </w:p>
    <w:p>
      <w:pPr>
        <w:pStyle w:val="ListNumber"/>
      </w:pPr>
      <w:r>
        <w:rPr>
          <w:rFonts w:ascii="Heiti SC" w:hAnsi="Heiti SC" w:eastAsia="Heiti SC" w:cs="Heiti SC" w:hint="eastAsia"/>
          <w:b w:val="0"/>
        </w:rPr>
        <w:t>Policy Service 用它查授权记录并判断是否允许执行。</w:t>
      </w:r>
    </w:p>
    <w:p>
      <w:pPr>
        <w:pStyle w:val="ListNumber"/>
      </w:pPr>
      <w:r>
        <w:rPr>
          <w:rFonts w:ascii="Heiti SC" w:hAnsi="Heiti SC" w:eastAsia="Heiti SC" w:cs="Heiti SC" w:hint="eastAsia"/>
          <w:b w:val="0"/>
        </w:rPr>
        <w:t>Audit Service 把它写入 Execution Receipt，证明结果基于哪个授权产生。</w:t>
      </w:r>
    </w:p>
    <w:p>
      <w:r>
        <w:rPr>
          <w:rFonts w:ascii="Heiti SC" w:hAnsi="Heiti SC" w:eastAsia="Heiti SC" w:cs="Heiti SC" w:hint="eastAsia"/>
          <w:b w:val="0"/>
        </w:rPr>
        <w:t>简化后的执行逻辑：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fill="F6F8FA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color w:val="111827"/>
                <w:sz w:val="16"/>
              </w:rPr>
              <w:t>decision = policy.evaluate(</w:t>
              <w:br/>
              <w:t xml:space="preserve">    entitlement_id=payload["entitlement_id"],</w:t>
              <w:br/>
              <w:t xml:space="preserve">    product_id="enterprise-energy-credit",</w:t>
              <w:br/>
              <w:t xml:space="preserve">    action_id="compute_credit_features",</w:t>
              <w:br/>
              <w:t xml:space="preserve">    purpose="credit_assessment",</w:t>
              <w:br/>
              <w:t xml:space="preserve">    requester_agent="bank-credit-agent",</w:t>
              <w:br/>
              <w:t xml:space="preserve">    provider_agent="grid-runtime",</w:t>
              <w:br/>
              <w:t>)</w:t>
              <w:br/>
              <w:br/>
              <w:t>if not decision.allow:</w:t>
              <w:br/>
              <w:t xml:space="preserve">    raise PolicyDenied(decision.reason)</w:t>
              <w:br/>
              <w:br/>
              <w:t>result = runtime.compute_credit_features(payload)</w:t>
              <w:br/>
              <w:t>receipt = audit.sign_receipt(</w:t>
              <w:br/>
              <w:t xml:space="preserve">    entitlement_id=payload["entitlement_id"],</w:t>
              <w:br/>
              <w:t xml:space="preserve">    policy_decision=decision.to_dict(),</w:t>
              <w:br/>
              <w:t xml:space="preserve">    output_hash=sha256_json(result),</w:t>
              <w:br/>
              <w:t>)</w:t>
            </w:r>
          </w:p>
        </w:tc>
      </w:tr>
    </w:tbl>
    <w:p/>
    <w:p>
      <w:r>
        <w:rPr>
          <w:rFonts w:ascii="Heiti SC" w:hAnsi="Heiti SC" w:eastAsia="Heiti SC" w:cs="Heiti SC" w:hint="eastAsia"/>
          <w:b w:val="0"/>
        </w:rPr>
        <w:t>所以它的意义类似“可审计的调用许可证编号”。没有它，OSDK 仍然可以构造方法调用，但 Runtime/Policy 应拒绝执行。</w:t>
      </w:r>
    </w:p>
    <w:p>
      <w:pPr>
        <w:pStyle w:val="Heading3"/>
      </w:pPr>
      <w:r>
        <w:rPr>
          <w:rFonts w:ascii="Heiti SC" w:hAnsi="Heiti SC" w:eastAsia="Heiti SC" w:cs="Heiti SC" w:hint="eastAsia"/>
        </w:rPr>
        <w:t>4.3 depends_on 与 OSDK 传参为什么不一样</w:t>
      </w:r>
    </w:p>
    <w:p>
      <w:r>
        <w:rPr>
          <w:rFonts w:ascii="Heiti SC" w:hAnsi="Heiti SC" w:eastAsia="Heiti SC" w:cs="Heiti SC" w:hint="eastAsia"/>
          <w:b w:val="0"/>
        </w:rPr>
        <w:t>页面中会展示这样的绑定关系：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fill="F6F8FA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color w:val="111827"/>
                <w:sz w:val="16"/>
              </w:rPr>
              <w:t>action: compute_credit_features</w:t>
              <w:br/>
              <w:t>depends_on:</w:t>
              <w:br/>
              <w:t xml:space="preserve">  - EnergyUsage.kwh</w:t>
              <w:br/>
              <w:t xml:space="preserve">  - BillingRecord.late_days</w:t>
              <w:br/>
              <w:t>returns: CreditResult</w:t>
            </w:r>
          </w:p>
        </w:tc>
      </w:tr>
    </w:tbl>
    <w:p/>
    <w:p>
      <w:r>
        <w:rPr>
          <w:rFonts w:ascii="Heiti SC" w:hAnsi="Heiti SC" w:eastAsia="Heiti SC" w:cs="Heiti SC" w:hint="eastAsia"/>
          <w:b w:val="0"/>
        </w:rPr>
        <w:t>这不是说 Agent 要把 `EnergyUsage.kwh` 或 `BillingRecord.late_days` 作为参数传进来。真正含义是：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2FF"/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b/>
                <w:color w:val="1E40AF"/>
                <w:sz w:val="18"/>
              </w:rPr>
              <w:t>项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2FF"/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b/>
                <w:color w:val="1E40AF"/>
                <w:sz w:val="18"/>
              </w:rPr>
              <w:t>面向谁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2FF"/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b/>
                <w:color w:val="1E40AF"/>
                <w:sz w:val="18"/>
              </w:rPr>
              <w:t>含义</w:t>
            </w:r>
          </w:p>
        </w:tc>
      </w:tr>
      <w:tr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`enterprise_id`, `months`, `entitlement_id`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Agent / OSDK 调用方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外部允许传入的业务参数和授权编号</w:t>
            </w:r>
          </w:p>
        </w:tc>
      </w:tr>
      <w:tr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`depends_on`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Runtime / Product Compiler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为完成这个动作，Runtime 在数据域内部需要读取或计算哪些本体字段</w:t>
            </w:r>
          </w:p>
        </w:tc>
      </w:tr>
      <w:tr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`runtime_binding`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Runtime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把本体字段映射到底层 Provider 自己的数据表、GIS 图层、API 或文件</w:t>
            </w:r>
          </w:p>
        </w:tc>
      </w:tr>
    </w:tbl>
    <w:p/>
    <w:p>
      <w:r>
        <w:rPr>
          <w:rFonts w:ascii="Heiti SC" w:hAnsi="Heiti SC" w:eastAsia="Heiti SC" w:cs="Heiti SC" w:hint="eastAsia"/>
          <w:b w:val="0"/>
        </w:rPr>
        <w:t>对应关系如下：</w:t>
      </w:r>
    </w:p>
    <w:p>
      <w:pPr>
        <w:spacing w:after="40"/>
      </w:pPr>
      <w:r>
        <w:rPr>
          <w:rFonts w:ascii="Heiti SC" w:hAnsi="Heiti SC" w:eastAsia="Heiti SC" w:cs="Heiti SC" w:hint="eastAsia"/>
          <w:b/>
          <w:color w:val="475569"/>
          <w:sz w:val="18"/>
        </w:rPr>
        <w:t>Mermaid 源图（Markdown 中可直接渲染）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fill="F6F8FA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color w:val="111827"/>
                <w:sz w:val="16"/>
              </w:rPr>
              <w:t>flowchart TD</w:t>
              <w:br/>
              <w:t xml:space="preserve">    A["Agent 调用 OSDK"] --&gt; B["外部参数&lt;br/&gt;enterprise_id, months, entitlement_id"]</w:t>
              <w:br/>
              <w:t xml:space="preserve">    B --&gt; C["execute_action(product_id, action_id, payload)"]</w:t>
              <w:br/>
              <w:t xml:space="preserve">    C --&gt; D["Policy 校验 entitlement"]</w:t>
              <w:br/>
              <w:t xml:space="preserve">    D --&gt; E["Runtime Binding"]</w:t>
              <w:br/>
              <w:t xml:space="preserve">    E --&gt; F["本体动作 depends_on&lt;br/&gt;EnergyUsage.kwh, BillingRecord.late_days"]</w:t>
              <w:br/>
              <w:t xml:space="preserve">    F --&gt; G["Provider 内部映射&lt;br/&gt;grid_usage.total_kwh / energy_invoice.overdue_days"]</w:t>
              <w:br/>
              <w:t xml:space="preserve">    G --&gt; H["本地特征计算"]</w:t>
              <w:br/>
              <w:t xml:space="preserve">    H --&gt; I["CreditResult + Receipt"]</w:t>
            </w:r>
          </w:p>
        </w:tc>
      </w:tr>
    </w:tbl>
    <w:p/>
    <w:p>
      <w:r>
        <w:rPr>
          <w:rFonts w:ascii="Heiti SC" w:hAnsi="Heiti SC" w:eastAsia="Heiti SC" w:cs="Heiti SC" w:hint="eastAsia"/>
          <w:b w:val="0"/>
        </w:rPr>
        <w:t>一句话：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fill="F6F8FA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color w:val="111827"/>
                <w:sz w:val="16"/>
              </w:rPr>
              <w:t>OSDK 参数是外部调用合约；depends_on 是 Runtime 内部计算依赖。</w:t>
            </w:r>
          </w:p>
        </w:tc>
      </w:tr>
    </w:tbl>
    <w:p/>
    <w:p>
      <w:pPr>
        <w:pStyle w:val="Heading3"/>
      </w:pPr>
      <w:r>
        <w:rPr>
          <w:rFonts w:ascii="Heiti SC" w:hAnsi="Heiti SC" w:eastAsia="Heiti SC" w:cs="Heiti SC" w:hint="eastAsia"/>
        </w:rPr>
        <w:t>4.4 OSDK 不是安全边界</w:t>
      </w:r>
    </w:p>
    <w:p>
      <w:r>
        <w:rPr>
          <w:rFonts w:ascii="Heiti SC" w:hAnsi="Heiti SC" w:eastAsia="Heiti SC" w:cs="Heiti SC" w:hint="eastAsia"/>
          <w:b w:val="0"/>
        </w:rPr>
        <w:t>OSDK 应该尽量简单，越像普通 SDK 越容易被开发者和 Agent 使用。但安全边界不在 OSDK 客户端里，而在：</w:t>
      </w:r>
    </w:p>
    <w:p>
      <w:pPr>
        <w:pStyle w:val="ListBullet"/>
      </w:pPr>
      <w:r>
        <w:rPr>
          <w:rFonts w:ascii="Heiti SC" w:hAnsi="Heiti SC" w:eastAsia="Heiti SC" w:cs="Heiti SC" w:hint="eastAsia"/>
          <w:b w:val="0"/>
        </w:rPr>
        <w:t>Gateway：请求签名、身份、路由、跨域边界、审计。</w:t>
      </w:r>
    </w:p>
    <w:p>
      <w:pPr>
        <w:pStyle w:val="ListBullet"/>
      </w:pPr>
      <w:r>
        <w:rPr>
          <w:rFonts w:ascii="Heiti SC" w:hAnsi="Heiti SC" w:eastAsia="Heiti SC" w:cs="Heiti SC" w:hint="eastAsia"/>
          <w:b w:val="0"/>
        </w:rPr>
        <w:t>Policy：授权、用途、期限、配额、撤销、输出粒度。</w:t>
      </w:r>
    </w:p>
    <w:p>
      <w:pPr>
        <w:pStyle w:val="ListBullet"/>
      </w:pPr>
      <w:r>
        <w:rPr>
          <w:rFonts w:ascii="Heiti SC" w:hAnsi="Heiti SC" w:eastAsia="Heiti SC" w:cs="Heiti SC" w:hint="eastAsia"/>
          <w:b w:val="0"/>
        </w:rPr>
        <w:t>Runtime：本地执行、底层映射、禁止原始数据出域。</w:t>
      </w:r>
    </w:p>
    <w:p>
      <w:pPr>
        <w:pStyle w:val="ListBullet"/>
      </w:pPr>
      <w:r>
        <w:rPr>
          <w:rFonts w:ascii="Heiti SC" w:hAnsi="Heiti SC" w:eastAsia="Heiti SC" w:cs="Heiti SC" w:hint="eastAsia"/>
          <w:b w:val="0"/>
        </w:rPr>
        <w:t>Sandbox：隔离客户 OSDK workload，限制网络和文件访问。</w:t>
      </w:r>
    </w:p>
    <w:p>
      <w:pPr>
        <w:pStyle w:val="ListBullet"/>
      </w:pPr>
      <w:r>
        <w:rPr>
          <w:rFonts w:ascii="Heiti SC" w:hAnsi="Heiti SC" w:eastAsia="Heiti SC" w:cs="Heiti SC" w:hint="eastAsia"/>
          <w:b w:val="0"/>
        </w:rPr>
        <w:t>Receipt：对执行事实进行签名和防篡改验证。</w:t>
      </w:r>
    </w:p>
    <w:p>
      <w:pPr>
        <w:pStyle w:val="Heading2"/>
      </w:pPr>
      <w:r>
        <w:rPr>
          <w:rFonts w:ascii="Heiti SC" w:hAnsi="Heiti SC" w:eastAsia="Heiti SC" w:cs="Heiti SC" w:hint="eastAsia"/>
        </w:rPr>
        <w:t>5. 用电征信场景</w:t>
      </w:r>
    </w:p>
    <w:p>
      <w:r>
        <w:rPr>
          <w:rFonts w:ascii="Heiti SC" w:hAnsi="Heiti SC" w:eastAsia="Heiti SC" w:cs="Heiti SC" w:hint="eastAsia"/>
          <w:b w:val="0"/>
        </w:rPr>
        <w:t>用电征信不是“把两个地方的数据全部搜索后合并原始数据”。更准确的流程是：</w:t>
      </w:r>
    </w:p>
    <w:p>
      <w:pPr>
        <w:pStyle w:val="ListNumber"/>
      </w:pPr>
      <w:r>
        <w:rPr>
          <w:rFonts w:ascii="Heiti SC" w:hAnsi="Heiti SC" w:eastAsia="Heiti SC" w:cs="Heiti SC" w:hint="eastAsia"/>
          <w:b w:val="0"/>
        </w:rPr>
        <w:t>同一银行 Agent 使用同一个 Product OSDK 动作。</w:t>
      </w:r>
    </w:p>
    <w:p>
      <w:pPr>
        <w:pStyle w:val="ListNumber"/>
      </w:pPr>
      <w:r>
        <w:rPr>
          <w:rFonts w:ascii="Heiti SC" w:hAnsi="Heiti SC" w:eastAsia="Heiti SC" w:cs="Heiti SC" w:hint="eastAsia"/>
          <w:b w:val="0"/>
        </w:rPr>
        <w:t>该动作可分别路由到国家电网 Runtime 和综合能源 Runtime。</w:t>
      </w:r>
    </w:p>
    <w:p>
      <w:pPr>
        <w:pStyle w:val="ListNumber"/>
      </w:pPr>
      <w:r>
        <w:rPr>
          <w:rFonts w:ascii="Heiti SC" w:hAnsi="Heiti SC" w:eastAsia="Heiti SC" w:cs="Heiti SC" w:hint="eastAsia"/>
          <w:b w:val="0"/>
        </w:rPr>
        <w:t>每个 Runtime 在自己的数据域内完成本体映射和特征计算。</w:t>
      </w:r>
    </w:p>
    <w:p>
      <w:pPr>
        <w:pStyle w:val="ListNumber"/>
      </w:pPr>
      <w:r>
        <w:rPr>
          <w:rFonts w:ascii="Heiti SC" w:hAnsi="Heiti SC" w:eastAsia="Heiti SC" w:cs="Heiti SC" w:hint="eastAsia"/>
          <w:b w:val="0"/>
        </w:rPr>
        <w:t>结果以标准 `CreditResult` 结构返回，通常是摘要、评分、解释和质量快照。</w:t>
      </w:r>
    </w:p>
    <w:p>
      <w:pPr>
        <w:pStyle w:val="ListNumber"/>
      </w:pPr>
      <w:r>
        <w:rPr>
          <w:rFonts w:ascii="Heiti SC" w:hAnsi="Heiti SC" w:eastAsia="Heiti SC" w:cs="Heiti SC" w:hint="eastAsia"/>
          <w:b w:val="0"/>
        </w:rPr>
        <w:t>如果需要跨 Provider 汇总，汇总的是产品结果或特征摘要，不是原始账单、缴费流水或连接串。</w:t>
      </w:r>
    </w:p>
    <w:p>
      <w:pPr>
        <w:spacing w:after="40"/>
      </w:pPr>
      <w:r>
        <w:rPr>
          <w:rFonts w:ascii="Heiti SC" w:hAnsi="Heiti SC" w:eastAsia="Heiti SC" w:cs="Heiti SC" w:hint="eastAsia"/>
          <w:b/>
          <w:color w:val="475569"/>
          <w:sz w:val="18"/>
        </w:rPr>
        <w:t>Mermaid 源图（Markdown 中可直接渲染）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fill="F6F8FA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color w:val="111827"/>
                <w:sz w:val="16"/>
              </w:rPr>
              <w:t>flowchart LR</w:t>
              <w:br/>
              <w:t xml:space="preserve">    Agent["银行 Agent"] --&gt; OSDK["EnterpriseEnergyCreditClient"]</w:t>
              <w:br/>
              <w:t xml:space="preserve">    OSDK --&gt; Gateway["可信数据空间网关"]</w:t>
              <w:br/>
              <w:t xml:space="preserve">    Gateway --&gt; Grid["国家电网 Runtime"]</w:t>
              <w:br/>
              <w:t xml:space="preserve">    Gateway --&gt; Energy["综合能源 Runtime"]</w:t>
              <w:br/>
              <w:t xml:space="preserve">    Grid --&gt; GridData["国家电网异构表&lt;br/&gt;用电、账单、缴费"]</w:t>
              <w:br/>
              <w:t xml:space="preserve">    Energy --&gt; EnergyData["综合能源异构表&lt;br/&gt;用能、发票、逾期"]</w:t>
              <w:br/>
              <w:t xml:space="preserve">    Grid --&gt; Result1["CreditResult 摘要"]</w:t>
              <w:br/>
              <w:t xml:space="preserve">    Energy --&gt; Result2["CreditResult 摘要"]</w:t>
              <w:br/>
              <w:t xml:space="preserve">    Result1 --&gt; Merge["银行侧结果汇总"]</w:t>
              <w:br/>
              <w:t xml:space="preserve">    Result2 --&gt; Merge</w:t>
            </w:r>
          </w:p>
        </w:tc>
      </w:tr>
    </w:tbl>
    <w:p/>
    <w:p>
      <w:r>
        <w:rPr>
          <w:rFonts w:ascii="Heiti SC" w:hAnsi="Heiti SC" w:eastAsia="Heiti SC" w:cs="Heiti SC" w:hint="eastAsia"/>
          <w:b w:val="0"/>
        </w:rPr>
        <w:t>演示时应强调：</w:t>
      </w:r>
    </w:p>
    <w:p>
      <w:pPr>
        <w:pStyle w:val="ListBullet"/>
      </w:pPr>
      <w:r>
        <w:rPr>
          <w:rFonts w:ascii="Heiti SC" w:hAnsi="Heiti SC" w:eastAsia="Heiti SC" w:cs="Heiti SC" w:hint="eastAsia"/>
          <w:b w:val="0"/>
        </w:rPr>
        <w:t>银行侧看不到底层表名、连接串或原始流水。</w:t>
      </w:r>
    </w:p>
    <w:p>
      <w:pPr>
        <w:pStyle w:val="ListBullet"/>
      </w:pPr>
      <w:r>
        <w:rPr>
          <w:rFonts w:ascii="Heiti SC" w:hAnsi="Heiti SC" w:eastAsia="Heiti SC" w:cs="Heiti SC" w:hint="eastAsia"/>
          <w:b w:val="0"/>
        </w:rPr>
        <w:t>同一应用包可以在两个 Provider Runtime 中执行。</w:t>
      </w:r>
    </w:p>
    <w:p>
      <w:pPr>
        <w:pStyle w:val="ListBullet"/>
      </w:pPr>
      <w:r>
        <w:rPr>
          <w:rFonts w:ascii="Heiti SC" w:hAnsi="Heiti SC" w:eastAsia="Heiti SC" w:cs="Heiti SC" w:hint="eastAsia"/>
          <w:b w:val="0"/>
        </w:rPr>
        <w:t>两个 Provider 的底层表结构可以不同，但都映射到统一领域本体。</w:t>
      </w:r>
    </w:p>
    <w:p>
      <w:pPr>
        <w:pStyle w:val="ListBullet"/>
      </w:pPr>
      <w:r>
        <w:rPr>
          <w:rFonts w:ascii="Heiti SC" w:hAnsi="Heiti SC" w:eastAsia="Heiti SC" w:cs="Heiti SC" w:hint="eastAsia"/>
          <w:b w:val="0"/>
        </w:rPr>
        <w:t>授权撤销后，下一次执行应失败，并在实时运行情况中记录拒绝原因。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6512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power-credit-execution-trac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65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Heiti SC" w:hAnsi="Heiti SC" w:eastAsia="Heiti SC" w:cs="Heiti SC" w:hint="eastAsia"/>
          <w:color w:val="475569"/>
          <w:sz w:val="17"/>
        </w:rPr>
        <w:t>图：用电征信执行链路</w:t>
      </w:r>
    </w:p>
    <w:p>
      <w:pPr>
        <w:pStyle w:val="Heading2"/>
      </w:pPr>
      <w:r>
        <w:rPr>
          <w:rFonts w:ascii="Heiti SC" w:hAnsi="Heiti SC" w:eastAsia="Heiti SC" w:cs="Heiti SC" w:hint="eastAsia"/>
        </w:rPr>
        <w:t>6. 长春开挖风险场景</w:t>
      </w:r>
    </w:p>
    <w:p>
      <w:r>
        <w:rPr>
          <w:rFonts w:ascii="Heiti SC" w:hAnsi="Heiti SC" w:eastAsia="Heiti SC" w:cs="Heiti SC" w:hint="eastAsia"/>
          <w:b w:val="0"/>
        </w:rPr>
        <w:t>长春场景用来说明“数据不出域，但计算可以使用敏感字段”。例如管线精确坐标可能被升级为核心数据：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98"/>
        <w:gridCol w:w="2498"/>
        <w:gridCol w:w="2498"/>
        <w:gridCol w:w="2498"/>
      </w:tblGrid>
      <w:tr>
        <w:tc>
          <w:tcPr>
            <w:tcW w:type="dxa" w:w="249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2FF"/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b/>
                <w:color w:val="1E40AF"/>
                <w:sz w:val="17"/>
              </w:rPr>
              <w:t>字段</w:t>
            </w:r>
          </w:p>
        </w:tc>
        <w:tc>
          <w:tcPr>
            <w:tcW w:type="dxa" w:w="249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2FF"/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b/>
                <w:color w:val="1E40AF"/>
                <w:sz w:val="17"/>
              </w:rPr>
              <w:t>分类</w:t>
            </w:r>
          </w:p>
        </w:tc>
        <w:tc>
          <w:tcPr>
            <w:tcW w:type="dxa" w:w="249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2FF"/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b/>
                <w:color w:val="1E40AF"/>
                <w:sz w:val="17"/>
              </w:rPr>
              <w:t>外部接口</w:t>
            </w:r>
          </w:p>
        </w:tc>
        <w:tc>
          <w:tcPr>
            <w:tcW w:type="dxa" w:w="249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2FF"/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b/>
                <w:color w:val="1E40AF"/>
                <w:sz w:val="17"/>
              </w:rPr>
              <w:t>Runtime 内部</w:t>
            </w:r>
          </w:p>
        </w:tc>
      </w:tr>
      <w:tr>
        <w:tc>
          <w:tcPr>
            <w:tcW w:type="dxa" w:w="249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7"/>
              </w:rPr>
              <w:t>`PipelineSegment.exact_coordinates`</w:t>
            </w:r>
          </w:p>
        </w:tc>
        <w:tc>
          <w:tcPr>
            <w:tcW w:type="dxa" w:w="249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7"/>
              </w:rPr>
              <w:t>`COMPUTE_ONLY`</w:t>
            </w:r>
          </w:p>
        </w:tc>
        <w:tc>
          <w:tcPr>
            <w:tcW w:type="dxa" w:w="249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7"/>
              </w:rPr>
              <w:t>不生成读取接口</w:t>
            </w:r>
          </w:p>
        </w:tc>
        <w:tc>
          <w:tcPr>
            <w:tcW w:type="dxa" w:w="249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7"/>
              </w:rPr>
              <w:t>风险评估动作可使用</w:t>
            </w:r>
          </w:p>
        </w:tc>
      </w:tr>
      <w:tr>
        <w:tc>
          <w:tcPr>
            <w:tcW w:type="dxa" w:w="249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7"/>
              </w:rPr>
              <w:t>`PipelineSegment.owner_detail`</w:t>
            </w:r>
          </w:p>
        </w:tc>
        <w:tc>
          <w:tcPr>
            <w:tcW w:type="dxa" w:w="249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7"/>
              </w:rPr>
              <w:t>`HIDDEN`</w:t>
            </w:r>
          </w:p>
        </w:tc>
        <w:tc>
          <w:tcPr>
            <w:tcW w:type="dxa" w:w="249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7"/>
              </w:rPr>
              <w:t>完全不暴露</w:t>
            </w:r>
          </w:p>
        </w:tc>
        <w:tc>
          <w:tcPr>
            <w:tcW w:type="dxa" w:w="249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7"/>
              </w:rPr>
              <w:t>默认不可用</w:t>
            </w:r>
          </w:p>
        </w:tc>
      </w:tr>
      <w:tr>
        <w:tc>
          <w:tcPr>
            <w:tcW w:type="dxa" w:w="249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7"/>
              </w:rPr>
              <w:t>`RiskAssessment.overall_risk`</w:t>
            </w:r>
          </w:p>
        </w:tc>
        <w:tc>
          <w:tcPr>
            <w:tcW w:type="dxa" w:w="249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7"/>
              </w:rPr>
              <w:t>`EXTERNAL_RESULT`</w:t>
            </w:r>
          </w:p>
        </w:tc>
        <w:tc>
          <w:tcPr>
            <w:tcW w:type="dxa" w:w="249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7"/>
              </w:rPr>
              <w:t>可返回</w:t>
            </w:r>
          </w:p>
        </w:tc>
        <w:tc>
          <w:tcPr>
            <w:tcW w:type="dxa" w:w="249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7"/>
              </w:rPr>
              <w:t>可写入结果</w:t>
            </w:r>
          </w:p>
        </w:tc>
      </w:tr>
    </w:tbl>
    <w:p/>
    <w:p>
      <w:r>
        <w:rPr>
          <w:rFonts w:ascii="Heiti SC" w:hAnsi="Heiti SC" w:eastAsia="Heiti SC" w:cs="Heiti SC" w:hint="eastAsia"/>
          <w:b w:val="0"/>
        </w:rPr>
        <w:t>用户或 Agent 传入的是：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fill="F6F8FA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color w:val="111827"/>
                <w:sz w:val="16"/>
              </w:rPr>
              <w:t>result = client.assess_excavation_risk(</w:t>
              <w:br/>
              <w:t xml:space="preserve">    project_id="cc-demo-2026-001",</w:t>
              <w:br/>
              <w:t xml:space="preserve">    excavation_area=geojson_polygon,</w:t>
              <w:br/>
              <w:t xml:space="preserve">    depth_m=4.5,</w:t>
              <w:br/>
              <w:t xml:space="preserve">    construction_method="mechanical",</w:t>
              <w:br/>
              <w:t xml:space="preserve">    entitlement_id="ent_changchun_demo",</w:t>
              <w:br/>
              <w:t>)</w:t>
            </w:r>
          </w:p>
        </w:tc>
      </w:tr>
    </w:tbl>
    <w:p/>
    <w:p>
      <w:r>
        <w:rPr>
          <w:rFonts w:ascii="Heiti SC" w:hAnsi="Heiti SC" w:eastAsia="Heiti SC" w:cs="Heiti SC" w:hint="eastAsia"/>
          <w:b w:val="0"/>
        </w:rPr>
        <w:t>Runtime 内部会使用 GIS intersection、buffer、距离和规则评分，返回风险等级、影响资产类型、影响段数、建议、质量摘要和凭证。</w:t>
      </w:r>
    </w:p>
    <w:p>
      <w:pPr>
        <w:spacing w:after="40"/>
      </w:pPr>
      <w:r>
        <w:rPr>
          <w:rFonts w:ascii="Heiti SC" w:hAnsi="Heiti SC" w:eastAsia="Heiti SC" w:cs="Heiti SC" w:hint="eastAsia"/>
          <w:b/>
          <w:color w:val="475569"/>
          <w:sz w:val="18"/>
        </w:rPr>
        <w:t>Mermaid 源图（Markdown 中可直接渲染）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fill="F6F8FA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color w:val="111827"/>
                <w:sz w:val="16"/>
              </w:rPr>
              <w:t>flowchart TD</w:t>
              <w:br/>
              <w:t xml:space="preserve">    Project["ExcavationProject&lt;br/&gt;开挖工程"] --&gt; Intersect["spatially_intersects&lt;br/&gt;空间相交"]</w:t>
              <w:br/>
              <w:t xml:space="preserve">    Segment["PipelineSegment&lt;br/&gt;管线段"] --&gt; Intersect</w:t>
              <w:br/>
              <w:t xml:space="preserve">    Intersect --&gt; Risk["RiskAssessment&lt;br/&gt;风险评估"]</w:t>
              <w:br/>
              <w:t xml:space="preserve">    Segment --&gt; Rule["保护规则 / 监测摘要"]</w:t>
              <w:br/>
              <w:t xml:space="preserve">    Rule --&gt; Risk</w:t>
              <w:br/>
              <w:t xml:space="preserve">    Risk --&gt; Output["风险等级、影响资产类型、建议、凭证"]</w:t>
            </w:r>
          </w:p>
        </w:tc>
      </w:tr>
    </w:tbl>
    <w:p/>
    <w:p>
      <w:pPr>
        <w:pStyle w:val="Heading2"/>
      </w:pPr>
      <w:r>
        <w:rPr>
          <w:rFonts w:ascii="Heiti SC" w:hAnsi="Heiti SC" w:eastAsia="Heiti SC" w:cs="Heiti SC" w:hint="eastAsia"/>
        </w:rPr>
        <w:t>7. 动态本体运维与编译裁剪</w:t>
      </w:r>
    </w:p>
    <w:p>
      <w:r>
        <w:rPr>
          <w:rFonts w:ascii="Heiti SC" w:hAnsi="Heiti SC" w:eastAsia="Heiti SC" w:cs="Heiti SC" w:hint="eastAsia"/>
          <w:b w:val="0"/>
        </w:rPr>
        <w:t>动态本体运维视图要讲清楚一个关键点：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fill="F6F8FA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color w:val="111827"/>
                <w:sz w:val="16"/>
              </w:rPr>
              <w:t>全量动态本体 != Product OSDK。</w:t>
              <w:br/>
              <w:t>Product OSDK 是全量本体经过产品投影、用途合同、分类分级、质量门槛和 Runtime 能力裁剪后的结果。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65125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dynamic-ontology-op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65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Heiti SC" w:hAnsi="Heiti SC" w:eastAsia="Heiti SC" w:cs="Heiti SC" w:hint="eastAsia"/>
          <w:color w:val="475569"/>
          <w:sz w:val="17"/>
        </w:rPr>
        <w:t>图：动态本体运维视图</w:t>
      </w:r>
    </w:p>
    <w:p>
      <w:r>
        <w:rPr>
          <w:rFonts w:ascii="Heiti SC" w:hAnsi="Heiti SC" w:eastAsia="Heiti SC" w:cs="Heiti SC" w:hint="eastAsia"/>
          <w:b w:val="0"/>
        </w:rPr>
        <w:t>典型编译规则：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2FF"/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b/>
                <w:color w:val="1E40AF"/>
                <w:sz w:val="18"/>
              </w:rPr>
              <w:t>分类</w:t>
            </w:r>
          </w:p>
        </w:tc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2FF"/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b/>
                <w:color w:val="1E40AF"/>
                <w:sz w:val="18"/>
              </w:rPr>
              <w:t>编译行为</w:t>
            </w:r>
          </w:p>
        </w:tc>
      </w:tr>
      <w:tr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`HIDDEN`</w:t>
            </w:r>
          </w:p>
        </w:tc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不生成接口，不进入结果模型</w:t>
            </w:r>
          </w:p>
        </w:tc>
      </w:tr>
      <w:tr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`INTERNAL_ONLY`</w:t>
            </w:r>
          </w:p>
        </w:tc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默认仅 Runtime 内部可见</w:t>
            </w:r>
          </w:p>
        </w:tc>
      </w:tr>
      <w:tr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`COMPUTE_ONLY`</w:t>
            </w:r>
          </w:p>
        </w:tc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不生成读取接口，但可作为受控动作内部依赖</w:t>
            </w:r>
          </w:p>
        </w:tc>
      </w:tr>
      <w:tr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`MASKED`</w:t>
            </w:r>
          </w:p>
        </w:tc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只能生成脱敏后的结果字段</w:t>
            </w:r>
          </w:p>
        </w:tc>
      </w:tr>
      <w:tr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`AGGREGATE_ONLY`</w:t>
            </w:r>
          </w:p>
        </w:tc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只生成聚合查询，不生成明细读取</w:t>
            </w:r>
          </w:p>
        </w:tc>
      </w:tr>
      <w:tr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`EXTERNAL_RESULT`</w:t>
            </w:r>
          </w:p>
        </w:tc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可出现在产品结果模型中</w:t>
            </w:r>
          </w:p>
        </w:tc>
      </w:tr>
    </w:tbl>
    <w:p/>
    <w:p>
      <w:r>
        <w:rPr>
          <w:rFonts w:ascii="Heiti SC" w:hAnsi="Heiti SC" w:eastAsia="Heiti SC" w:cs="Heiti SC" w:hint="eastAsia"/>
          <w:b w:val="0"/>
        </w:rPr>
        <w:t>产品编译链路：</w:t>
      </w:r>
    </w:p>
    <w:p>
      <w:pPr>
        <w:spacing w:after="40"/>
      </w:pPr>
      <w:r>
        <w:rPr>
          <w:rFonts w:ascii="Heiti SC" w:hAnsi="Heiti SC" w:eastAsia="Heiti SC" w:cs="Heiti SC" w:hint="eastAsia"/>
          <w:b/>
          <w:color w:val="475569"/>
          <w:sz w:val="18"/>
        </w:rPr>
        <w:t>Mermaid 源图（Markdown 中可直接渲染）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fill="F6F8FA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color w:val="111827"/>
                <w:sz w:val="16"/>
              </w:rPr>
              <w:t>flowchart LR</w:t>
              <w:br/>
              <w:t xml:space="preserve">    DOIR["全量 DOIR / 动态本体"] --&gt; Projection["Product Projection&lt;br/&gt;选择对象、字段、关系、动作"]</w:t>
              <w:br/>
              <w:t xml:space="preserve">    Projection --&gt; Contract["用途合同&lt;br/&gt;purpose, requester, provider, output"]</w:t>
              <w:br/>
              <w:t xml:space="preserve">    Contract --&gt; Policy["分类分级 / 质量门槛"]</w:t>
              <w:br/>
              <w:t xml:space="preserve">    Policy --&gt; Compiler["Product Compiler"]</w:t>
              <w:br/>
              <w:t xml:space="preserve">    Compiler --&gt; Manifest["product_manifest.yaml"]</w:t>
              <w:br/>
              <w:t xml:space="preserve">    Compiler --&gt; Schema["product_schema.json"]</w:t>
              <w:br/>
              <w:t xml:space="preserve">    Compiler --&gt; Binding["runtime_binding.yaml"]</w:t>
              <w:br/>
              <w:t xml:space="preserve">    Compiler --&gt; SDK["Generated OSDK / MCP / OpenAPI"]</w:t>
            </w:r>
          </w:p>
        </w:tc>
      </w:tr>
    </w:tbl>
    <w:p/>
    <w:p>
      <w:r>
        <w:rPr>
          <w:rFonts w:ascii="Heiti SC" w:hAnsi="Heiti SC" w:eastAsia="Heiti SC" w:cs="Heiti SC" w:hint="eastAsia"/>
          <w:b w:val="0"/>
        </w:rPr>
        <w:t>这个机制与传统“建一个大而全的数据中台再给应用查表”不同。动态本体不是直接给外部暴露数据，而是让数据产品以动作方式被编译、授权、执行和验证。</w:t>
      </w:r>
    </w:p>
    <w:p>
      <w:pPr>
        <w:pStyle w:val="Heading2"/>
      </w:pPr>
      <w:r>
        <w:rPr>
          <w:rFonts w:ascii="Heiti SC" w:hAnsi="Heiti SC" w:eastAsia="Heiti SC" w:cs="Heiti SC" w:hint="eastAsia"/>
        </w:rPr>
        <w:t>8. 部署视图：客户侧 OSDK 与我方沙箱 OSDK</w:t>
      </w:r>
    </w:p>
    <w:p>
      <w:r>
        <w:rPr>
          <w:rFonts w:ascii="Heiti SC" w:hAnsi="Heiti SC" w:eastAsia="Heiti SC" w:cs="Heiti SC" w:hint="eastAsia"/>
          <w:b w:val="0"/>
        </w:rPr>
        <w:t>更通用的部署方式是把客户的 OSDK 调用视为一个独立 workload。这个 workload 可以运行在客户侧，也可以运行在我方托管沙箱，但都必须经过可信数据空间网关才能调用 Runtime。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65125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deployment-topology-and-cod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65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Heiti SC" w:hAnsi="Heiti SC" w:eastAsia="Heiti SC" w:cs="Heiti SC" w:hint="eastAsia"/>
          <w:color w:val="475569"/>
          <w:sz w:val="17"/>
        </w:rPr>
        <w:t>图：部署视图与网关调用代码</w:t>
      </w:r>
    </w:p>
    <w:p>
      <w:pPr>
        <w:spacing w:after="40"/>
      </w:pPr>
      <w:r>
        <w:rPr>
          <w:rFonts w:ascii="Heiti SC" w:hAnsi="Heiti SC" w:eastAsia="Heiti SC" w:cs="Heiti SC" w:hint="eastAsia"/>
          <w:b/>
          <w:color w:val="475569"/>
          <w:sz w:val="18"/>
        </w:rPr>
        <w:t>Mermaid 源图（Markdown 中可直接渲染）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fill="F6F8FA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color w:val="111827"/>
                <w:sz w:val="16"/>
              </w:rPr>
              <w:t>flowchart LR</w:t>
              <w:br/>
              <w:t xml:space="preserve">    subgraph Customer["客户域"]</w:t>
              <w:br/>
              <w:t xml:space="preserve">        App["客户 Agent / 应用"]</w:t>
              <w:br/>
              <w:t xml:space="preserve">        SDK["客户 Product OSDK"]</w:t>
              <w:br/>
              <w:t xml:space="preserve">        Workload["OSDK Workload"]</w:t>
              <w:br/>
              <w:t xml:space="preserve">        App --&gt; SDK --&gt; Workload</w:t>
              <w:br/>
              <w:t xml:space="preserve">    end</w:t>
              <w:br/>
              <w:br/>
              <w:t xml:space="preserve">    subgraph VendorSandbox["我方可选隔离沙箱"]</w:t>
              <w:br/>
              <w:t xml:space="preserve">        Sandbox["客户 OSDK 沙箱 Workload"]</w:t>
              <w:br/>
              <w:t xml:space="preserve">    end</w:t>
              <w:br/>
              <w:br/>
              <w:t xml:space="preserve">    Workload --&gt; Gateway["可信数据空间网关"]</w:t>
              <w:br/>
              <w:t xml:space="preserve">    Sandbox --&gt; Gateway</w:t>
              <w:br/>
              <w:br/>
              <w:t xml:space="preserve">    Gateway --&gt; Policy["Policy / Entitlement"]</w:t>
              <w:br/>
              <w:t xml:space="preserve">    Gateway --&gt; Runtime["我方 Product Runtime"]</w:t>
              <w:br/>
              <w:t xml:space="preserve">    Runtime --&gt; Data["我方数据域 / 受控数据源"]</w:t>
              <w:br/>
              <w:t xml:space="preserve">    Runtime --&gt; Receipt["签名 Execution Receipt"]</w:t>
              <w:br/>
              <w:t xml:space="preserve">    Gateway --&gt; Federation["未来联合计算编排"]</w:t>
            </w:r>
          </w:p>
        </w:tc>
      </w:tr>
    </w:tbl>
    <w:p/>
    <w:p>
      <w:r>
        <w:rPr>
          <w:rFonts w:ascii="Heiti SC" w:hAnsi="Heiti SC" w:eastAsia="Heiti SC" w:cs="Heiti SC" w:hint="eastAsia"/>
          <w:b w:val="0"/>
        </w:rPr>
        <w:t>代码形态：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fill="F6F8FA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color w:val="111827"/>
                <w:sz w:val="16"/>
              </w:rPr>
              <w:t>gateway_runtime = GatewayRuntimeAdapter(</w:t>
              <w:br/>
              <w:t xml:space="preserve">    gateway_url="https://tds-gateway.example.com",</w:t>
              <w:br/>
              <w:t xml:space="preserve">    workload_id="customer-bank-agent",</w:t>
              <w:br/>
              <w:t xml:space="preserve">    workload_attestation="sha256:workload-attestation",</w:t>
              <w:br/>
              <w:t xml:space="preserve">    allowed_products=["enterprise-energy-credit"],</w:t>
              <w:br/>
              <w:t>)</w:t>
              <w:br/>
              <w:br/>
              <w:t>client = EnterpriseEnergyCreditClient(runtime=gateway_runtime)</w:t>
              <w:br/>
              <w:br/>
              <w:t>result = client.compute_credit_features(</w:t>
              <w:br/>
              <w:t xml:space="preserve">    enterprise_id="91300000DEMO0007",</w:t>
              <w:br/>
              <w:t xml:space="preserve">    months=12,</w:t>
              <w:br/>
              <w:t xml:space="preserve">    entitlement_id="ent_demo_gateway",</w:t>
              <w:br/>
              <w:t>)</w:t>
            </w:r>
          </w:p>
        </w:tc>
      </w:tr>
    </w:tbl>
    <w:p/>
    <w:p>
      <w:r>
        <w:rPr>
          <w:rFonts w:ascii="Heiti SC" w:hAnsi="Heiti SC" w:eastAsia="Heiti SC" w:cs="Heiti SC" w:hint="eastAsia"/>
          <w:b w:val="0"/>
        </w:rPr>
        <w:t>这里 `runtime` 被替换为 `GatewayRuntimeAdapter`，所以 OSDK 调用面不变，但请求会被封装、签名并送到可信数据空间网关。网关再完成身份校验、授权校验、路由、审计和 Runtime 调用。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65125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gateway-execution-trac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65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Heiti SC" w:hAnsi="Heiti SC" w:eastAsia="Heiti SC" w:cs="Heiti SC" w:hint="eastAsia"/>
          <w:color w:val="475569"/>
          <w:sz w:val="17"/>
        </w:rPr>
        <w:t>图：可信数据空间网关执行过程</w:t>
      </w:r>
    </w:p>
    <w:p>
      <w:pPr>
        <w:pStyle w:val="Heading2"/>
      </w:pPr>
      <w:r>
        <w:rPr>
          <w:rFonts w:ascii="Heiti SC" w:hAnsi="Heiti SC" w:eastAsia="Heiti SC" w:cs="Heiti SC" w:hint="eastAsia"/>
        </w:rPr>
        <w:t>9. Execution Receipt 是什么</w:t>
      </w:r>
    </w:p>
    <w:p>
      <w:r>
        <w:rPr>
          <w:rFonts w:ascii="Heiti SC" w:hAnsi="Heiti SC" w:eastAsia="Heiti SC" w:cs="Heiti SC" w:hint="eastAsia"/>
          <w:b w:val="0"/>
        </w:rPr>
        <w:t>Execution Receipt 是一次受控数据产品执行后的“可验证执行凭证”。它不是简单日志，而是面向结果可信性的结构化证据。</w:t>
      </w:r>
    </w:p>
    <w:p>
      <w:r>
        <w:rPr>
          <w:rFonts w:ascii="Heiti SC" w:hAnsi="Heiti SC" w:eastAsia="Heiti SC" w:cs="Heiti SC" w:hint="eastAsia"/>
          <w:b w:val="0"/>
        </w:rPr>
        <w:t>Receipt 至少应该包含：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fill="F6F8FA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color w:val="111827"/>
                <w:sz w:val="16"/>
              </w:rPr>
              <w:t>{</w:t>
              <w:br/>
              <w:t xml:space="preserve">  "request_id": "req_20260716_0001",</w:t>
              <w:br/>
              <w:t xml:space="preserve">  "purpose": "credit_assessment",</w:t>
              <w:br/>
              <w:t xml:space="preserve">  "requester_agent": "bank-credit-agent",</w:t>
              <w:br/>
              <w:t xml:space="preserve">  "provider_agent": "grid-runtime",</w:t>
              <w:br/>
              <w:t xml:space="preserve">  "data_subject": "91300000DEMO0007",</w:t>
              <w:br/>
              <w:t xml:space="preserve">  "entitlement_id": "ent_cddf8c7d872e",</w:t>
              <w:br/>
              <w:t xml:space="preserve">  "application_digest": "sha256:...",</w:t>
              <w:br/>
              <w:t xml:space="preserve">  "ontology_version": "doir-v0.2.3",</w:t>
              <w:br/>
              <w:t xml:space="preserve">  "mapping_version": "grid-map-v0.4.1",</w:t>
              <w:br/>
              <w:t xml:space="preserve">  "product_version": "enterprise-energy-credit-v0.2.0",</w:t>
              <w:br/>
              <w:t xml:space="preserve">  "runtime_version": "grid-runtime-v0.3.0",</w:t>
              <w:br/>
              <w:t xml:space="preserve">  "input_hash": "sha256:...",</w:t>
              <w:br/>
              <w:t xml:space="preserve">  "output_hash": "sha256:...",</w:t>
              <w:br/>
              <w:t xml:space="preserve">  "policy_decision": "allow",</w:t>
              <w:br/>
              <w:t xml:space="preserve">  "previous_event_hash": "sha256:...",</w:t>
              <w:br/>
              <w:t xml:space="preserve">  "provider_signature": "ed25519:..."</w:t>
              <w:br/>
              <w:t>}</w:t>
            </w:r>
          </w:p>
        </w:tc>
      </w:tr>
    </w:tbl>
    <w:p/>
    <w:p>
      <w:r>
        <w:rPr>
          <w:rFonts w:ascii="Heiti SC" w:hAnsi="Heiti SC" w:eastAsia="Heiti SC" w:cs="Heiti SC" w:hint="eastAsia"/>
          <w:b w:val="0"/>
        </w:rPr>
        <w:t>它回答的问题是：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2FF"/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b/>
                <w:color w:val="1E40AF"/>
                <w:sz w:val="18"/>
              </w:rPr>
              <w:t>问题</w:t>
            </w:r>
          </w:p>
        </w:tc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2FF"/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b/>
                <w:color w:val="1E40AF"/>
                <w:sz w:val="18"/>
              </w:rPr>
              <w:t>Receipt 中的证据</w:t>
            </w:r>
          </w:p>
        </w:tc>
      </w:tr>
      <w:tr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谁调用的</w:t>
            </w:r>
          </w:p>
        </w:tc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`requester_agent`</w:t>
            </w:r>
          </w:p>
        </w:tc>
      </w:tr>
      <w:tr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为了什么用途</w:t>
            </w:r>
          </w:p>
        </w:tc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`purpose`</w:t>
            </w:r>
          </w:p>
        </w:tc>
      </w:tr>
      <w:tr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基于哪个授权</w:t>
            </w:r>
          </w:p>
        </w:tc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`entitlement_id`</w:t>
            </w:r>
          </w:p>
        </w:tc>
      </w:tr>
      <w:tr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哪个应用包发起</w:t>
            </w:r>
          </w:p>
        </w:tc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`application_digest`</w:t>
            </w:r>
          </w:p>
        </w:tc>
      </w:tr>
      <w:tr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使用哪个本体/映射/产品版本</w:t>
            </w:r>
          </w:p>
        </w:tc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`ontology_version`, `mapping_version`, `product_version`</w:t>
            </w:r>
          </w:p>
        </w:tc>
      </w:tr>
      <w:tr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哪个 Runtime 执行</w:t>
            </w:r>
          </w:p>
        </w:tc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`provider_agent`, `runtime_version`</w:t>
            </w:r>
          </w:p>
        </w:tc>
      </w:tr>
      <w:tr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输入输出是否被篡改</w:t>
            </w:r>
          </w:p>
        </w:tc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`input_hash`, `output_hash`</w:t>
            </w:r>
          </w:p>
        </w:tc>
      </w:tr>
      <w:tr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策略是否允许</w:t>
            </w:r>
          </w:p>
        </w:tc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`policy_decision`</w:t>
            </w:r>
          </w:p>
        </w:tc>
      </w:tr>
      <w:tr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凭证链是否连续</w:t>
            </w:r>
          </w:p>
        </w:tc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`previous_event_hash`</w:t>
            </w:r>
          </w:p>
        </w:tc>
      </w:tr>
      <w:tr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谁签名背书</w:t>
            </w:r>
          </w:p>
        </w:tc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`provider_signature`</w:t>
            </w:r>
          </w:p>
        </w:tc>
      </w:tr>
    </w:tbl>
    <w:p/>
    <w:p>
      <w:r>
        <w:rPr>
          <w:rFonts w:ascii="Heiti SC" w:hAnsi="Heiti SC" w:eastAsia="Heiti SC" w:cs="Heiti SC" w:hint="eastAsia"/>
          <w:b w:val="0"/>
        </w:rPr>
        <w:t>验证时并不需要看到原始数据。验证方可以重新计算输入输出摘要，校验签名和 hash 链，从而判断“这份结果是否来自指定授权和指定产品执行”。</w:t>
      </w:r>
    </w:p>
    <w:p>
      <w:pPr>
        <w:pStyle w:val="Heading2"/>
      </w:pPr>
      <w:r>
        <w:rPr>
          <w:rFonts w:ascii="Heiti SC" w:hAnsi="Heiti SC" w:eastAsia="Heiti SC" w:cs="Heiti SC" w:hint="eastAsia"/>
        </w:rPr>
        <w:t>10. 与传统方案的差异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2FF"/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b/>
                <w:color w:val="1E40AF"/>
                <w:sz w:val="18"/>
              </w:rPr>
              <w:t>传统方案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2FF"/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b/>
                <w:color w:val="1E40AF"/>
                <w:sz w:val="18"/>
              </w:rPr>
              <w:t>常见问题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2FF"/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b/>
                <w:color w:val="1E40AF"/>
                <w:sz w:val="18"/>
              </w:rPr>
              <w:t>本机制的改进</w:t>
            </w:r>
          </w:p>
        </w:tc>
      </w:tr>
      <w:tr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数据中台 / 数据湖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往往强调汇聚和统一存储，容易形成原始数据出域或大权限查询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Runtime 在数据域内执行，外部只拿产品结果和凭证</w:t>
            </w:r>
          </w:p>
        </w:tc>
      </w:tr>
      <w:tr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API 开放平台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API 多为手工定义，接口与底层数据治理割裂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OSDK/MCP/OpenAPI 由动态本体和产品投影编译生成</w:t>
            </w:r>
          </w:p>
        </w:tc>
      </w:tr>
      <w:tr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传统动态本体 / 知识图谱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偏建模和查询，未必解决授权、执行和结果可信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本体动作绑定 Runtime、Policy 和 Receipt，直接进入可调用产品</w:t>
            </w:r>
          </w:p>
        </w:tc>
      </w:tr>
      <w:tr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数据交易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交易对象常被理解为数据集或文件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交易对象变成可授权、可执行、可验证的数据产品动作</w:t>
            </w:r>
          </w:p>
        </w:tc>
      </w:tr>
      <w:tr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普通 SDK / ORM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开发体验好，但容易让调用方靠近底层数据模型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Product OSDK 只暴露命名动作，不暴露自由 SQL 和底层字段</w:t>
            </w:r>
          </w:p>
        </w:tc>
      </w:tr>
      <w:tr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Agent 直接连库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快但不可控，难审计，难合规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Agent 只能通过 OSDK/MCP 调用受控产品，并拿到可验证凭证</w:t>
            </w:r>
          </w:p>
        </w:tc>
      </w:tr>
    </w:tbl>
    <w:p/>
    <w:p>
      <w:r>
        <w:rPr>
          <w:rFonts w:ascii="Heiti SC" w:hAnsi="Heiti SC" w:eastAsia="Heiti SC" w:cs="Heiti SC" w:hint="eastAsia"/>
          <w:b w:val="0"/>
        </w:rPr>
        <w:t>核心差异是：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fill="F6F8FA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color w:val="111827"/>
                <w:sz w:val="16"/>
              </w:rPr>
              <w:t>传统方案常把“数据可访问”作为目标；</w:t>
              <w:br/>
              <w:t>本机制把“数据能力可被授权、可被执行、可被验证”作为目标。</w:t>
            </w:r>
          </w:p>
        </w:tc>
      </w:tr>
    </w:tbl>
    <w:p/>
    <w:p>
      <w:pPr>
        <w:pStyle w:val="Heading2"/>
      </w:pPr>
      <w:r>
        <w:rPr>
          <w:rFonts w:ascii="Heiti SC" w:hAnsi="Heiti SC" w:eastAsia="Heiti SC" w:cs="Heiti SC" w:hint="eastAsia"/>
        </w:rPr>
        <w:t>11. 实施门槛评估</w:t>
      </w:r>
    </w:p>
    <w:p>
      <w:pPr>
        <w:pStyle w:val="Heading3"/>
      </w:pPr>
      <w:r>
        <w:rPr>
          <w:rFonts w:ascii="Heiti SC" w:hAnsi="Heiti SC" w:eastAsia="Heiti SC" w:cs="Heiti SC" w:hint="eastAsia"/>
        </w:rPr>
        <w:t>11.1 难度较低的部分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2FF"/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b/>
                <w:color w:val="1E40AF"/>
                <w:sz w:val="18"/>
              </w:rPr>
              <w:t>模块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2FF"/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b/>
                <w:color w:val="1E40AF"/>
                <w:sz w:val="18"/>
              </w:rPr>
              <w:t>难度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2FF"/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b/>
                <w:color w:val="1E40AF"/>
                <w:sz w:val="18"/>
              </w:rPr>
              <w:t>说明</w:t>
            </w:r>
          </w:p>
        </w:tc>
      </w:tr>
      <w:tr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Python OSDK 生成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低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本质是根据产品 schema 生成 Client、参数模型和返回模型</w:t>
            </w:r>
          </w:p>
        </w:tc>
      </w:tr>
      <w:tr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TypeScript OSDK 生成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低到中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需要处理前端类型、包发布和版本兼容</w:t>
            </w:r>
          </w:p>
        </w:tc>
      </w:tr>
      <w:tr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MCP Tool / OpenAPI 生成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低到中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从产品动作和 schema 生成机器可读工具描述</w:t>
            </w:r>
          </w:p>
        </w:tc>
      </w:tr>
      <w:tr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参数校验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低到中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可依赖 Pydantic、JSON Schema、OpenAPI</w:t>
            </w:r>
          </w:p>
        </w:tc>
      </w:tr>
      <w:tr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Demo Console 展示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中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难点主要是叙事清晰和执行链路可视化</w:t>
            </w:r>
          </w:p>
        </w:tc>
      </w:tr>
    </w:tbl>
    <w:p/>
    <w:p>
      <w:pPr>
        <w:pStyle w:val="Heading3"/>
      </w:pPr>
      <w:r>
        <w:rPr>
          <w:rFonts w:ascii="Heiti SC" w:hAnsi="Heiti SC" w:eastAsia="Heiti SC" w:cs="Heiti SC" w:hint="eastAsia"/>
        </w:rPr>
        <w:t>11.2 真正困难的部分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2FF"/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b/>
                <w:color w:val="1E40AF"/>
                <w:sz w:val="18"/>
              </w:rPr>
              <w:t>模块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2FF"/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b/>
                <w:color w:val="1E40AF"/>
                <w:sz w:val="18"/>
              </w:rPr>
              <w:t>难度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2FF"/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b/>
                <w:color w:val="1E40AF"/>
                <w:sz w:val="18"/>
              </w:rPr>
              <w:t>原因</w:t>
            </w:r>
          </w:p>
        </w:tc>
      </w:tr>
      <w:tr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动态本体建模与治理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中到高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要表达对象、字段、关系、动作、分类分级、质量规则和版本演进</w:t>
            </w:r>
          </w:p>
        </w:tc>
      </w:tr>
      <w:tr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Product Compiler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中到高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要保证禁止字段不会进入接口、结果模型或间接泄漏路径</w:t>
            </w:r>
          </w:p>
        </w:tc>
      </w:tr>
      <w:tr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Runtime Binding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高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要把本体动作稳定映射到异构表、GIS、API、文件和流数据，并可测试、可回滚</w:t>
            </w:r>
          </w:p>
        </w:tc>
      </w:tr>
      <w:tr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Policy / Entitlement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高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要覆盖用途、主体、Provider、期限、配额、撤销、输出粒度和审计</w:t>
            </w:r>
          </w:p>
        </w:tc>
      </w:tr>
      <w:tr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可信数据空间网关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高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要做身份、签名、路由、合约、审计、限流、租户隔离和跨域安全</w:t>
            </w:r>
          </w:p>
        </w:tc>
      </w:tr>
      <w:tr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OSDK workload 隔离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高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客户侧或我方沙箱都需要网络策略、镜像证明、密钥管理和运行审计</w:t>
            </w:r>
          </w:p>
        </w:tc>
      </w:tr>
      <w:tr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Execution Receipt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中到高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要让 hash、签名、版本、授权、策略决策可验证且防篡改</w:t>
            </w:r>
          </w:p>
        </w:tc>
      </w:tr>
      <w:tr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版本兼容与接口演进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中到高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本体变化后 OSDK、Runtime、应用和 Agent 工具要协同升级</w:t>
            </w:r>
          </w:p>
        </w:tc>
      </w:tr>
      <w:tr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联合计算扩展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很高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多 Runtime 编排、联邦聚合、隐私计算、TEE/MPC 会引入协议和运维复杂度</w:t>
            </w:r>
          </w:p>
        </w:tc>
      </w:tr>
    </w:tbl>
    <w:p/>
    <w:p>
      <w:pPr>
        <w:pStyle w:val="Heading3"/>
      </w:pPr>
      <w:r>
        <w:rPr>
          <w:rFonts w:ascii="Heiti SC" w:hAnsi="Heiti SC" w:eastAsia="Heiti SC" w:cs="Heiti SC" w:hint="eastAsia"/>
        </w:rPr>
        <w:t>11.3 一句话结论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fill="F6F8FA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color w:val="111827"/>
                <w:sz w:val="16"/>
              </w:rPr>
              <w:t>OSDK 是易用入口，不是可信边界。</w:t>
              <w:br/>
              <w:t>可信边界在 Runtime、Policy、Gateway、Sandbox 和 Receipt 这一整套系统中。</w:t>
            </w:r>
          </w:p>
        </w:tc>
      </w:tr>
    </w:tbl>
    <w:p/>
    <w:p>
      <w:pPr>
        <w:pStyle w:val="Heading2"/>
      </w:pPr>
      <w:r>
        <w:rPr>
          <w:rFonts w:ascii="Heiti SC" w:hAnsi="Heiti SC" w:eastAsia="Heiti SC" w:cs="Heiti SC" w:hint="eastAsia"/>
        </w:rPr>
        <w:t>12. 后续研发建议</w:t>
      </w:r>
    </w:p>
    <w:p>
      <w:pPr>
        <w:pStyle w:val="Heading3"/>
      </w:pPr>
      <w:r>
        <w:rPr>
          <w:rFonts w:ascii="Heiti SC" w:hAnsi="Heiti SC" w:eastAsia="Heiti SC" w:cs="Heiti SC" w:hint="eastAsia"/>
        </w:rPr>
        <w:t>阶段 1：增强 Demo / PoC</w:t>
      </w:r>
    </w:p>
    <w:p>
      <w:r>
        <w:rPr>
          <w:rFonts w:ascii="Heiti SC" w:hAnsi="Heiti SC" w:eastAsia="Heiti SC" w:cs="Heiti SC" w:hint="eastAsia"/>
          <w:b w:val="0"/>
        </w:rPr>
        <w:t>目标是讲清楚价值并证明机制可行。</w:t>
      </w:r>
    </w:p>
    <w:p>
      <w:pPr>
        <w:pStyle w:val="ListBullet"/>
      </w:pPr>
      <w:r>
        <w:rPr>
          <w:rFonts w:ascii="Heiti SC" w:hAnsi="Heiti SC" w:eastAsia="Heiti SC" w:cs="Heiti SC" w:hint="eastAsia"/>
          <w:b w:val="0"/>
        </w:rPr>
        <w:t>把 DOIR 从 Python fixture 切换到 YAML/JSON Registry。</w:t>
      </w:r>
    </w:p>
    <w:p>
      <w:pPr>
        <w:pStyle w:val="ListBullet"/>
      </w:pPr>
      <w:r>
        <w:rPr>
          <w:rFonts w:ascii="Heiti SC" w:hAnsi="Heiti SC" w:eastAsia="Heiti SC" w:cs="Heiti SC" w:hint="eastAsia"/>
          <w:b w:val="0"/>
        </w:rPr>
        <w:t>生成真实可安装的 Python package。</w:t>
      </w:r>
    </w:p>
    <w:p>
      <w:pPr>
        <w:pStyle w:val="ListBullet"/>
      </w:pPr>
      <w:r>
        <w:rPr>
          <w:rFonts w:ascii="Heiti SC" w:hAnsi="Heiti SC" w:eastAsia="Heiti SC" w:cs="Heiti SC" w:hint="eastAsia"/>
          <w:b w:val="0"/>
        </w:rPr>
        <w:t>生成 MCP Tool manifest，并让 Agent 通过真实工具描述调用。</w:t>
      </w:r>
    </w:p>
    <w:p>
      <w:pPr>
        <w:pStyle w:val="ListBullet"/>
      </w:pPr>
      <w:r>
        <w:rPr>
          <w:rFonts w:ascii="Heiti SC" w:hAnsi="Heiti SC" w:eastAsia="Heiti SC" w:cs="Heiti SC" w:hint="eastAsia"/>
          <w:b w:val="0"/>
        </w:rPr>
        <w:t>增加网关模拟服务，而不是只在前端内置模拟。</w:t>
      </w:r>
    </w:p>
    <w:p>
      <w:pPr>
        <w:pStyle w:val="ListBullet"/>
      </w:pPr>
      <w:r>
        <w:rPr>
          <w:rFonts w:ascii="Heiti SC" w:hAnsi="Heiti SC" w:eastAsia="Heiti SC" w:cs="Heiti SC" w:hint="eastAsia"/>
          <w:b w:val="0"/>
        </w:rPr>
        <w:t>增加授权撤销后的失败路径演示。</w:t>
      </w:r>
    </w:p>
    <w:p>
      <w:pPr>
        <w:pStyle w:val="ListBullet"/>
      </w:pPr>
      <w:r>
        <w:rPr>
          <w:rFonts w:ascii="Heiti SC" w:hAnsi="Heiti SC" w:eastAsia="Heiti SC" w:cs="Heiti SC" w:hint="eastAsia"/>
          <w:b w:val="0"/>
        </w:rPr>
        <w:t>增加 Receipt Verifier 的独立命令行工具。</w:t>
      </w:r>
    </w:p>
    <w:p>
      <w:pPr>
        <w:pStyle w:val="Heading3"/>
      </w:pPr>
      <w:r>
        <w:rPr>
          <w:rFonts w:ascii="Heiti SC" w:hAnsi="Heiti SC" w:eastAsia="Heiti SC" w:cs="Heiti SC" w:hint="eastAsia"/>
        </w:rPr>
        <w:t>阶段 2：试点版</w:t>
      </w:r>
    </w:p>
    <w:p>
      <w:r>
        <w:rPr>
          <w:rFonts w:ascii="Heiti SC" w:hAnsi="Heiti SC" w:eastAsia="Heiti SC" w:cs="Heiti SC" w:hint="eastAsia"/>
          <w:b w:val="0"/>
        </w:rPr>
        <w:t>目标是接入一个真实或准真实数据域。</w:t>
      </w:r>
    </w:p>
    <w:p>
      <w:pPr>
        <w:pStyle w:val="ListBullet"/>
      </w:pPr>
      <w:r>
        <w:rPr>
          <w:rFonts w:ascii="Heiti SC" w:hAnsi="Heiti SC" w:eastAsia="Heiti SC" w:cs="Heiti SC" w:hint="eastAsia"/>
          <w:b w:val="0"/>
        </w:rPr>
        <w:t>SQLite/PostgreSQL Registry。</w:t>
      </w:r>
    </w:p>
    <w:p>
      <w:pPr>
        <w:pStyle w:val="ListBullet"/>
      </w:pPr>
      <w:r>
        <w:rPr>
          <w:rFonts w:ascii="Heiti SC" w:hAnsi="Heiti SC" w:eastAsia="Heiti SC" w:cs="Heiti SC" w:hint="eastAsia"/>
          <w:b w:val="0"/>
        </w:rPr>
        <w:t>持久化 Policy Store。</w:t>
      </w:r>
    </w:p>
    <w:p>
      <w:pPr>
        <w:pStyle w:val="ListBullet"/>
      </w:pPr>
      <w:r>
        <w:rPr>
          <w:rFonts w:ascii="Heiti SC" w:hAnsi="Heiti SC" w:eastAsia="Heiti SC" w:cs="Heiti SC" w:hint="eastAsia"/>
          <w:b w:val="0"/>
        </w:rPr>
        <w:t>Runtime Adapter 支持 SQL、API、文件和 GIS 图层。</w:t>
      </w:r>
    </w:p>
    <w:p>
      <w:pPr>
        <w:pStyle w:val="ListBullet"/>
      </w:pPr>
      <w:r>
        <w:rPr>
          <w:rFonts w:ascii="Heiti SC" w:hAnsi="Heiti SC" w:eastAsia="Heiti SC" w:cs="Heiti SC" w:hint="eastAsia"/>
          <w:b w:val="0"/>
        </w:rPr>
        <w:t>Gateway 支持请求签名、租户隔离和审计日志。</w:t>
      </w:r>
    </w:p>
    <w:p>
      <w:pPr>
        <w:pStyle w:val="ListBullet"/>
      </w:pPr>
      <w:r>
        <w:rPr>
          <w:rFonts w:ascii="Heiti SC" w:hAnsi="Heiti SC" w:eastAsia="Heiti SC" w:cs="Heiti SC" w:hint="eastAsia"/>
          <w:b w:val="0"/>
        </w:rPr>
        <w:t>OSDK package 版本发布。</w:t>
      </w:r>
    </w:p>
    <w:p>
      <w:pPr>
        <w:pStyle w:val="ListBullet"/>
      </w:pPr>
      <w:r>
        <w:rPr>
          <w:rFonts w:ascii="Heiti SC" w:hAnsi="Heiti SC" w:eastAsia="Heiti SC" w:cs="Heiti SC" w:hint="eastAsia"/>
          <w:b w:val="0"/>
        </w:rPr>
        <w:t>前端展示真实编译前后差异和策略拒绝记录。</w:t>
      </w:r>
    </w:p>
    <w:p>
      <w:pPr>
        <w:pStyle w:val="Heading3"/>
      </w:pPr>
      <w:r>
        <w:rPr>
          <w:rFonts w:ascii="Heiti SC" w:hAnsi="Heiti SC" w:eastAsia="Heiti SC" w:cs="Heiti SC" w:hint="eastAsia"/>
        </w:rPr>
        <w:t>阶段 3：生产化</w:t>
      </w:r>
    </w:p>
    <w:p>
      <w:r>
        <w:rPr>
          <w:rFonts w:ascii="Heiti SC" w:hAnsi="Heiti SC" w:eastAsia="Heiti SC" w:cs="Heiti SC" w:hint="eastAsia"/>
          <w:b w:val="0"/>
        </w:rPr>
        <w:t>目标是可运营、可审计、可扩展。</w:t>
      </w:r>
    </w:p>
    <w:p>
      <w:pPr>
        <w:pStyle w:val="ListBullet"/>
      </w:pPr>
      <w:r>
        <w:rPr>
          <w:rFonts w:ascii="Heiti SC" w:hAnsi="Heiti SC" w:eastAsia="Heiti SC" w:cs="Heiti SC" w:hint="eastAsia"/>
          <w:b w:val="0"/>
        </w:rPr>
        <w:t>多租户 IAM。</w:t>
      </w:r>
    </w:p>
    <w:p>
      <w:pPr>
        <w:pStyle w:val="ListBullet"/>
      </w:pPr>
      <w:r>
        <w:rPr>
          <w:rFonts w:ascii="Heiti SC" w:hAnsi="Heiti SC" w:eastAsia="Heiti SC" w:cs="Heiti SC" w:hint="eastAsia"/>
          <w:b w:val="0"/>
        </w:rPr>
        <w:t>KMS / 密钥轮换。</w:t>
      </w:r>
    </w:p>
    <w:p>
      <w:pPr>
        <w:pStyle w:val="ListBullet"/>
      </w:pPr>
      <w:r>
        <w:rPr>
          <w:rFonts w:ascii="Heiti SC" w:hAnsi="Heiti SC" w:eastAsia="Heiti SC" w:cs="Heiti SC" w:hint="eastAsia"/>
          <w:b w:val="0"/>
        </w:rPr>
        <w:t>OSDK workload sandbox。</w:t>
      </w:r>
    </w:p>
    <w:p>
      <w:pPr>
        <w:pStyle w:val="ListBullet"/>
      </w:pPr>
      <w:r>
        <w:rPr>
          <w:rFonts w:ascii="Heiti SC" w:hAnsi="Heiti SC" w:eastAsia="Heiti SC" w:cs="Heiti SC" w:hint="eastAsia"/>
          <w:b w:val="0"/>
        </w:rPr>
        <w:t>网关高可用和限流。</w:t>
      </w:r>
    </w:p>
    <w:p>
      <w:pPr>
        <w:pStyle w:val="ListBullet"/>
      </w:pPr>
      <w:r>
        <w:rPr>
          <w:rFonts w:ascii="Heiti SC" w:hAnsi="Heiti SC" w:eastAsia="Heiti SC" w:cs="Heiti SC" w:hint="eastAsia"/>
          <w:b w:val="0"/>
        </w:rPr>
        <w:t>Runtime 执行队列、重试、幂等。</w:t>
      </w:r>
    </w:p>
    <w:p>
      <w:pPr>
        <w:pStyle w:val="ListBullet"/>
      </w:pPr>
      <w:r>
        <w:rPr>
          <w:rFonts w:ascii="Heiti SC" w:hAnsi="Heiti SC" w:eastAsia="Heiti SC" w:cs="Heiti SC" w:hint="eastAsia"/>
          <w:b w:val="0"/>
        </w:rPr>
        <w:t>端到端审计和合规报表。</w:t>
      </w:r>
    </w:p>
    <w:p>
      <w:pPr>
        <w:pStyle w:val="ListBullet"/>
      </w:pPr>
      <w:r>
        <w:rPr>
          <w:rFonts w:ascii="Heiti SC" w:hAnsi="Heiti SC" w:eastAsia="Heiti SC" w:cs="Heiti SC" w:hint="eastAsia"/>
          <w:b w:val="0"/>
        </w:rPr>
        <w:t>数据质量 SLA。</w:t>
      </w:r>
    </w:p>
    <w:p>
      <w:pPr>
        <w:pStyle w:val="ListBullet"/>
      </w:pPr>
      <w:r>
        <w:rPr>
          <w:rFonts w:ascii="Heiti SC" w:hAnsi="Heiti SC" w:eastAsia="Heiti SC" w:cs="Heiti SC" w:hint="eastAsia"/>
          <w:b w:val="0"/>
        </w:rPr>
        <w:t>联合计算、隐私计算或 TEE/MPC 方案评估。</w:t>
      </w:r>
    </w:p>
    <w:p>
      <w:pPr>
        <w:pStyle w:val="Heading2"/>
      </w:pPr>
      <w:r>
        <w:rPr>
          <w:rFonts w:ascii="Heiti SC" w:hAnsi="Heiti SC" w:eastAsia="Heiti SC" w:cs="Heiti SC" w:hint="eastAsia"/>
        </w:rPr>
        <w:t>13. 对外表达建议</w:t>
      </w:r>
    </w:p>
    <w:p>
      <w:r>
        <w:rPr>
          <w:rFonts w:ascii="Heiti SC" w:hAnsi="Heiti SC" w:eastAsia="Heiti SC" w:cs="Heiti SC" w:hint="eastAsia"/>
          <w:b w:val="0"/>
        </w:rPr>
        <w:t>建议避免这样讲：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fill="F6F8FA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color w:val="111827"/>
                <w:sz w:val="16"/>
              </w:rPr>
              <w:t>我们生成了一个 OSDK。</w:t>
            </w:r>
          </w:p>
        </w:tc>
      </w:tr>
    </w:tbl>
    <w:p/>
    <w:p>
      <w:r>
        <w:rPr>
          <w:rFonts w:ascii="Heiti SC" w:hAnsi="Heiti SC" w:eastAsia="Heiti SC" w:cs="Heiti SC" w:hint="eastAsia"/>
          <w:b w:val="0"/>
        </w:rPr>
        <w:t>建议这样讲：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fill="F6F8FA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color w:val="111827"/>
                <w:sz w:val="16"/>
              </w:rPr>
              <w:t>我们把动态本体治理后的数据能力编译成可被 Agent 调用的数据产品接口。</w:t>
              <w:br/>
              <w:t>客户或 Agent 像调用普通 SDK 一样调用产品动作；</w:t>
              <w:br/>
              <w:t>但这个 SDK 不能越权、不能查原始表、不能绕过授权。</w:t>
              <w:br/>
              <w:t>实际计算在受控 Runtime 内完成，每次结果都有可验证凭证。</w:t>
            </w:r>
          </w:p>
        </w:tc>
      </w:tr>
    </w:tbl>
    <w:p/>
    <w:p>
      <w:r>
        <w:rPr>
          <w:rFonts w:ascii="Heiti SC" w:hAnsi="Heiti SC" w:eastAsia="Heiti SC" w:cs="Heiti SC" w:hint="eastAsia"/>
          <w:b w:val="0"/>
        </w:rPr>
        <w:t>更短的客户版表达：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fill="F6F8FA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color w:val="111827"/>
                <w:sz w:val="16"/>
              </w:rPr>
              <w:t>像调 SDK 一样调数据产品；</w:t>
              <w:br/>
              <w:t>像走数据空间一样受控流转；</w:t>
              <w:br/>
              <w:t>像验签一样验证结果可信。</w:t>
            </w:r>
          </w:p>
        </w:tc>
      </w:tr>
    </w:tbl>
    <w:p/>
    <w:p>
      <w:pPr>
        <w:pStyle w:val="Heading2"/>
      </w:pPr>
      <w:r>
        <w:rPr>
          <w:rFonts w:ascii="Heiti SC" w:hAnsi="Heiti SC" w:eastAsia="Heiti SC" w:cs="Heiti SC" w:hint="eastAsia"/>
        </w:rPr>
        <w:t>附录 A：当前 Demo 截图</w:t>
      </w:r>
    </w:p>
    <w:p>
      <w:pPr>
        <w:pStyle w:val="Heading3"/>
      </w:pPr>
      <w:r>
        <w:rPr>
          <w:rFonts w:ascii="Heiti SC" w:hAnsi="Heiti SC" w:eastAsia="Heiti SC" w:cs="Heiti SC" w:hint="eastAsia"/>
        </w:rPr>
        <w:t>A.1 Agent 价值闭环与用电征信工作台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65125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agent-value-and-power-workbench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65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Heiti SC" w:hAnsi="Heiti SC" w:eastAsia="Heiti SC" w:cs="Heiti SC" w:hint="eastAsia"/>
          <w:color w:val="475569"/>
          <w:sz w:val="17"/>
        </w:rPr>
        <w:t>图：Agent 价值闭环与用电征信工作台</w:t>
      </w:r>
    </w:p>
    <w:p>
      <w:pPr>
        <w:pStyle w:val="Heading3"/>
      </w:pPr>
      <w:r>
        <w:rPr>
          <w:rFonts w:ascii="Heiti SC" w:hAnsi="Heiti SC" w:eastAsia="Heiti SC" w:cs="Heiti SC" w:hint="eastAsia"/>
        </w:rPr>
        <w:t>A.2 用电征信执行链路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65125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power-credit-execution-trac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65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Heiti SC" w:hAnsi="Heiti SC" w:eastAsia="Heiti SC" w:cs="Heiti SC" w:hint="eastAsia"/>
          <w:color w:val="475569"/>
          <w:sz w:val="17"/>
        </w:rPr>
        <w:t>图：用电征信执行链路</w:t>
      </w:r>
    </w:p>
    <w:p>
      <w:pPr>
        <w:pStyle w:val="Heading3"/>
      </w:pPr>
      <w:r>
        <w:rPr>
          <w:rFonts w:ascii="Heiti SC" w:hAnsi="Heiti SC" w:eastAsia="Heiti SC" w:cs="Heiti SC" w:hint="eastAsia"/>
        </w:rPr>
        <w:t>A.3 动态本体运维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65125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dynamic-ontology-op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65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Heiti SC" w:hAnsi="Heiti SC" w:eastAsia="Heiti SC" w:cs="Heiti SC" w:hint="eastAsia"/>
          <w:color w:val="475569"/>
          <w:sz w:val="17"/>
        </w:rPr>
        <w:t>图：动态本体运维</w:t>
      </w:r>
    </w:p>
    <w:p>
      <w:pPr>
        <w:pStyle w:val="Heading3"/>
      </w:pPr>
      <w:r>
        <w:rPr>
          <w:rFonts w:ascii="Heiti SC" w:hAnsi="Heiti SC" w:eastAsia="Heiti SC" w:cs="Heiti SC" w:hint="eastAsia"/>
        </w:rPr>
        <w:t>A.4 部署拓扑和代码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65125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deployment-topology-and-cod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65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Heiti SC" w:hAnsi="Heiti SC" w:eastAsia="Heiti SC" w:cs="Heiti SC" w:hint="eastAsia"/>
          <w:color w:val="475569"/>
          <w:sz w:val="17"/>
        </w:rPr>
        <w:t>图：部署拓扑和代码</w:t>
      </w:r>
    </w:p>
    <w:p>
      <w:pPr>
        <w:pStyle w:val="Heading3"/>
      </w:pPr>
      <w:r>
        <w:rPr>
          <w:rFonts w:ascii="Heiti SC" w:hAnsi="Heiti SC" w:eastAsia="Heiti SC" w:cs="Heiti SC" w:hint="eastAsia"/>
        </w:rPr>
        <w:t>A.5 网关执行链路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65125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gateway-execution-trac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65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Heiti SC" w:hAnsi="Heiti SC" w:eastAsia="Heiti SC" w:cs="Heiti SC" w:hint="eastAsia"/>
          <w:color w:val="475569"/>
          <w:sz w:val="17"/>
        </w:rPr>
        <w:t>图：网关执行链路</w:t>
      </w:r>
    </w:p>
    <w:p>
      <w:pPr>
        <w:pStyle w:val="Heading2"/>
      </w:pPr>
      <w:r>
        <w:rPr>
          <w:rFonts w:ascii="Heiti SC" w:hAnsi="Heiti SC" w:eastAsia="Heiti SC" w:cs="Heiti SC" w:hint="eastAsia"/>
        </w:rPr>
        <w:t>附录 B：框架结构图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74920" cy="5256167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ramework-structur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74920" cy="52561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Heiti SC" w:hAnsi="Heiti SC" w:eastAsia="Heiti SC" w:cs="Heiti SC" w:hint="eastAsia"/>
          <w:color w:val="475569"/>
          <w:sz w:val="17"/>
        </w:rPr>
        <w:t>图：总体框架结构图</w:t>
      </w:r>
    </w:p>
    <w:p>
      <w:pPr>
        <w:pStyle w:val="Heading2"/>
      </w:pPr>
      <w:r>
        <w:rPr>
          <w:rFonts w:ascii="Heiti SC" w:hAnsi="Heiti SC" w:eastAsia="Heiti SC" w:cs="Heiti SC" w:hint="eastAsia"/>
        </w:rPr>
        <w:t>附录 C：术语表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2FF"/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b/>
                <w:color w:val="1E40AF"/>
                <w:sz w:val="18"/>
              </w:rPr>
              <w:t>术语</w:t>
            </w:r>
          </w:p>
        </w:tc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2FF"/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b/>
                <w:color w:val="1E40AF"/>
                <w:sz w:val="18"/>
              </w:rPr>
              <w:t>说明</w:t>
            </w:r>
          </w:p>
        </w:tc>
      </w:tr>
      <w:tr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DOIR</w:t>
            </w:r>
          </w:p>
        </w:tc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Dynamic Ontology Intermediate Representation，动态本体中间表示</w:t>
            </w:r>
          </w:p>
        </w:tc>
      </w:tr>
      <w:tr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Product Projection</w:t>
            </w:r>
          </w:p>
        </w:tc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从全量本体中选择某个产品需要暴露的对象、字段、关系和动作</w:t>
            </w:r>
          </w:p>
        </w:tc>
      </w:tr>
      <w:tr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Product Compiler</w:t>
            </w:r>
          </w:p>
        </w:tc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根据产品投影、用途、分类分级、质量门槛和 Runtime 能力生成产品发布包</w:t>
            </w:r>
          </w:p>
        </w:tc>
      </w:tr>
      <w:tr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Product OSDK</w:t>
            </w:r>
          </w:p>
        </w:tc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面向开发者和 Agent 的受控 SDK，只暴露命名 Query/Action</w:t>
            </w:r>
          </w:p>
        </w:tc>
      </w:tr>
      <w:tr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MCP Tool</w:t>
            </w:r>
          </w:p>
        </w:tc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面向 Agent 的机器可读工具描述，使 Agent 能发现和调用产品能力</w:t>
            </w:r>
          </w:p>
        </w:tc>
      </w:tr>
      <w:tr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Runtime Binding</w:t>
            </w:r>
          </w:p>
        </w:tc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把产品动作和本体依赖绑定到底层数据域执行能力</w:t>
            </w:r>
          </w:p>
        </w:tc>
      </w:tr>
      <w:tr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Entitlement</w:t>
            </w:r>
          </w:p>
        </w:tc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授权许可，描述谁为了什么用途在什么范围内可以调用哪个产品</w:t>
            </w:r>
          </w:p>
        </w:tc>
      </w:tr>
      <w:tr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Trusted Data Space Gateway</w:t>
            </w:r>
          </w:p>
        </w:tc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可信数据空间网关，负责身份、签名、合约、路由、审计和跨域边界</w:t>
            </w:r>
          </w:p>
        </w:tc>
      </w:tr>
      <w:tr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Execution Receipt</w:t>
            </w:r>
          </w:p>
        </w:tc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Heiti SC" w:hAnsi="Heiti SC" w:eastAsia="Heiti SC" w:cs="Heiti SC" w:hint="eastAsia"/>
                <w:sz w:val="18"/>
              </w:rPr>
              <w:t>执行凭证，证明一次结果基于指定授权、应用、本体、产品和 Runtime 产生</w:t>
            </w:r>
          </w:p>
        </w:tc>
      </w:tr>
    </w:tbl>
    <w:p/>
    <w:sectPr w:rsidR="00FC693F" w:rsidRPr="0006063C" w:rsidSect="00034616">
      <w:pgSz w:w="12240" w:h="15840"/>
      <w:pgMar w:top="1037" w:right="1123" w:bottom="1037" w:left="11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 w:ascii="Heiti SC" w:hAnsi="Heiti SC" w:eastAsia="Heiti SC" w:cs="Heiti SC" w:hint="eastAsia"/>
        <w:sz w:val="22"/>
        <w:szCs w:val="22"/>
        <w:lang w:val="zh-CN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83" w:lineRule="auto"/>
    </w:pPr>
    <w:rPr>
      <w:rFonts w:ascii="Heiti SC" w:hAnsi="Heiti SC" w:eastAsia="Heiti SC" w:cs="Heiti SC" w:hint="eastAsia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Heiti SC" w:hAnsi="Heiti SC" w:eastAsia="Heiti SC" w:cs="Heiti SC" w:hint="eastAsia"/>
      <w:b/>
      <w:bCs/>
      <w:color w:val="165DF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Heiti SC" w:hAnsi="Heiti SC" w:eastAsia="Heiti SC" w:cs="Heiti SC" w:hint="eastAsia"/>
      <w:b/>
      <w:bCs/>
      <w:color w:val="0F172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Heiti SC" w:hAnsi="Heiti SC" w:eastAsia="Heiti SC" w:cs="Heiti SC" w:hint="eastAsia"/>
      <w:b/>
      <w:bCs/>
      <w:color w:val="1E40A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contextualSpacing/>
    </w:pPr>
    <w:rPr>
      <w:rFonts w:ascii="Heiti SC" w:hAnsi="Heiti SC" w:eastAsia="Heiti SC" w:cs="Heiti SC" w:hint="eastAsia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contextualSpacing/>
    </w:pPr>
    <w:rPr>
      <w:rFonts w:ascii="Heiti SC" w:hAnsi="Heiti SC" w:eastAsia="Heiti SC" w:cs="Heiti SC" w:hint="eastAsia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