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利用 OSDK 实现面向智能体自动化数据交易的可信数据空间创新可行性报告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日期：2026-07-19</w:t>
      </w:r>
    </w:p>
    <w:p>
      <w:pPr>
        <w:pStyle w:val="Heading1"/>
      </w:pPr>
      <w:r>
        <w:t>1. 结论先行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与“可信数据空间”“数据元件”“数据产品”没有方向冲突，反而可以作为可信数据空间中“数据服务化、智能体自动调用、履约可验证”的执行层增强。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更准确地说：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可信数据空间标准解决的是跨主体数据流通利用的基础设施框架：身份、连接器、目录、数字合约、使用控制、存证审计。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数据元件解决的是把原始数据加工成边界清晰、可复用、可流通的中间形态，介于原始数据资源和最终数据产品之间。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 OSDK Demo 解决的是：当数据产品从“表/文件/API”进一步变成“可执行业务动作”时，Agent 如何发现、申请、调用、跨 Provider 编排并验证执行凭证。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因此，本方案不是替代可信数据空间，也不是替代数据中台，而是可以嵌入可信数据空间和数据中台之上，成为 面向 Agent 的可信数据产品执行与自动交易层。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可行性判断：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理论路线可行：Apheris Gateway、Eclipse Dataspace Components、Ocean Compute-to-Data、AWS Clean Rooms、国内可信数据空间与隐私计算平台都已分别验证“数据不出域、合约控制、本地计算、多方协作、可审计”这些基础路线。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当前 Demo 已验证关键闭环：动态本体/产品投影编译、typed OSDK 生成、远程 OSDK 经 Gateway 调 Provider Runtime、多 Provider fan-out、逐 Provider Receipt、授权撤销和部分失败处理。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后续主要是工程复杂度与合规安全强化：真实数据源 adapter、持久化 Registry/Policy/Audit、强身份、密钥管理、沙箱/TEE/MPC、DSP/ODRL 兼容、交易计量计费、生产运维等。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仍不能说“无风险”：隐私泄露、推断攻击、运行时绕过、跨主体责任、审计采信、监管认可都不是 OSDK 自身能解决的，需要生产级可信数据空间工程体系承接。但这些不是“理论方向不可实现”，而是明确可分解的工程、安全和合规任务。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建议继续推进，产品定位应从“我们也做可信数据空间”调整为：</w:t>
      </w:r>
    </w:p>
    <w:p>
      <w:pPr>
        <w:spacing w:after="160"/>
        <w:ind w:left="360"/>
      </w:pPr>
      <w:r>
        <w:rPr>
          <w:rFonts w:ascii="Arial Unicode MS" w:hAnsi="Arial Unicode MS" w:eastAsia="Arial Unicode MS"/>
          <w:b/>
          <w:color w:val="284866"/>
          <w:sz w:val="20"/>
        </w:rPr>
        <w:t>在可信数据空间中，为数据提供方和数据使用方提供一套面向 Agent 的数据产品自动交易与可信执行框架：把数据元件/数据产品编译成 Agent 可调用的 Product OSDK，所有调用经数字合约和 Gateway 控制，在 Provider Runtime 内完成计算，并返回可验证 Receipt。</w:t>
      </w:r>
    </w:p>
    <w:p>
      <w:pPr>
        <w:pStyle w:val="Heading1"/>
      </w:pPr>
      <w:r>
        <w:t>2. 资料来源与取证说明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本报告参考以下资料：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百度百科“数据元件”：https://baike.baidu.com/item/%E6%95%B0%E6%8D%AE%E5%85%83%E4%BB%B6/58069761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说明：该页面在命令行抓取时返回百度安全验证，未能直接抽取正文。因此本报告将其作为“数据元件”概念入口，同时以国家数据基础设施、可信数据空间技术架构及公开产业资料作为主要可复核依据。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附件《可信数据空间 技术架构》，全国数据标准化技术委员会技术文件 TC609-6-2025-01，2025-04-30 发布。附件文件名：ff808081-960ee580-0196-8636bb64-04ce.pdf。官方同名 PDF URL 可按文件名访问国家数据局站点：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https://www.nda.gov.cn/sjj/ywpd/szkjyjcss/0430/ff808081-960ee580-0196-8636bb64-04ce.pdf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国家数据局《可信数据空间发展行动计划（2024-2028年）》：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https://www.nda.gov.cn/sjj/zwgk/zcfb/1122/20241122164142182915964_pc.html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国家数据局“中小微企业融资增信可信数据空间”公开案例：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https://www.nda.gov.cn/sjj/ywpd/sjzy/0121/20260121135536476611581_pc.html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Palantir Ontology SDK / OSDK：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https://www.palantir.com/docs/foundry/ontology-sdk/overview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Eclipse Dataspace Components：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https://projects.eclipse.org/projects/technology.edc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Eclipse Dataspace Protocol：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https://projects.eclipse.org/projects/technology.dataspace-protocol-base/governance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International Data Spaces Connector：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https://international-data-spaces-association.github.io/DataspaceConnector/Introduction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Apheris Gateway：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https://www.apheris.com/docs/gateway/latest/general/introduction.html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https://www.apheris.com/docs/gateway/latest/general/architecture.html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AWS Clean Rooms：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https://docs.aws.amazon.com/clean-rooms/latest/userguide/what-is.html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Snowflake Data Clean Rooms：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https://docs.snowflake.com/en/user-guide/cleanrooms/about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Databricks Clean Rooms：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https://docs.databricks.com/aws/en/clean-rooms/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Decentriq Data Clean Rooms：https://www.decentriq.com/data-clean-rooms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Ocean Protocol Compute-to-Data：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https://docs.oceanprotocol.com/developers/compute-to-data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Dawex 数据交换和数据空间平台：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https://www.dawex.com/en/data-exchange-technology/interoperability/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Dawex Data Exchange Solution：https://www.dawex.com/en/data-exchange-solution/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SecretFlow 隐语：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https://www.secretflow.org.cn/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隐语可信数据空间介绍：https://www.secretflow.org.cn/zh-CN/docs/feature-exp/latest/yaipurge93fgr7n8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华为云数据空间、数据交换相关产品入口：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https://www.huaweicloud.com/product/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华为云 Stack AI 可信数据空间解决方案：https://www.huaweicloud.com/product/huaweicloudstack/data-ai-space.html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华为云可信智能计算服务 TICS：https://www.huaweicloud.com/product/tics/data-flow-solution.html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中国电子云数据要素、数据空间相关产品入口：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https://www.cecloud.com/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中国电子云可信数据空间方案公开资料：https://cecloud.com/news/7350769509092823040.html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阿里云 DataWorks 数据开发治理平台：https://www.alibabacloud.com/product/dataworks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代码依据：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core/trusted_data_demo/gateway_app.py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core/trusted_data_demo/gateway.py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core/trusted_data_demo/provider_app.py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core/trusted_data_demo/control_plane.py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core/trusted_data_demo/runtime.py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core/trusted_data_demo/osdk_generator.py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generated/python/enterprise_energy_credit/enterprise_energy_credit/client.py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generated/python/enterprise_energy_credit/enterprise_energy_credit/runtime.py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docs/project-status-and-osdk.md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docs/research/2026-07-17-data-service-landscape-and-novelty.md</w:t>
      </w:r>
    </w:p>
    <w:p>
      <w:pPr>
        <w:pStyle w:val="Heading1"/>
      </w:pPr>
      <w:r>
        <w:t>3. 标准语境：可信数据空间到底要求什么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附件《可信数据空间 技术架构》给出的核心定义可以概括为：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可信数据空间是基于共识规则联接多方主体、实现数据资源共享共用的数据流通利用基础设施，是数据要素价值共创的应用生态。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它的关键词不是“把数据搬到一个平台”，而是：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共识规则：参与主体对数据内容、使用方式、使用次数、使用范围、使用环境等达成约定。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数字合约：以数字化形式描述各方对数据流通和使用的承诺。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使用控制：在传输、存储、使用和销毁环节，用技术手段保证数据使用符合合约。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服务平台 + 接入连接器：服务平台负责身份、目录、合约、空间管理、使用控制、审计；接入连接器是各参与方加入空间和执行使用控制的载体。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数据产品为基本单元：可信数据空间中的流通对象是数据产品，形式可以是数据库表、文件或数据 API。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数据服务方可加入：算力服务、人工智能服务、数据治理服务、隐私保护计算服务、数据交易服务等都可以通过连接器接入。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标准文件中对可信数据空间服务平台提出 7 类核心能力：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身份管理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接入连接器管理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目录管理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数字合约管理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可信数据空间管理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数据使用控制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国际空间互通网关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同时，安全要求包括数字合约完整性、合约真实性、数据安全分级、数据传输安全、数据存储安全、数据计算安全、日志存证和合规审计。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这说明可信数据空间不是单一技术产品，而是一个包含平台、连接器、合约、策略、运行环境、审计和生态角色的系统工程。</w:t>
      </w:r>
    </w:p>
    <w:p>
      <w:pPr>
        <w:pStyle w:val="Heading1"/>
      </w:pPr>
      <w:r>
        <w:t>4. 数据元件与当前方案的关系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“数据元件”在产业语境中通常指向这样一种中间形态：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来源于原始数据资源。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经过清洗、治理、加工、标注、标准化、脱敏或融合。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形成边界清晰、语义明确、可复用、可组合、可流通的中间单元。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可进一步封装为具体数据产品或数据服务。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它解决的是“原始数据资源不能直接高效流通，最终数据产品又太场景化”的中间层问题。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OSDK Demo 里的 DOIR、动态本体、产品投影和 Provider mapping，可以被理解为数据元件机制的一个“可执行语义版本”：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数据元件概念</w:t>
            </w:r>
          </w:p>
        </w:tc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当前 Demo 对应物</w:t>
            </w:r>
          </w:p>
        </w:tc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说明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原始数据资源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Provider 侧用电、账单、管线、监测 fixture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当前为合成数据；生产中应替换为真实表、GIS、API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加工治理规则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DOIR L0/L1/L2 mapping、分类分级、质量规则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决定字段语义、敏感级别和可用方式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数据元件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动态本体对象、属性、Link、Query、Action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不是单纯表字段，而是具备业务语义的可组合单元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数据产品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ProductProjection / Product Manifest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面向用途封装的可申请、可授权、可执行产品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数据产品接口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Generated Product OSDK / MCP Tool / OpenAPI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Agent 和应用调用的稳定入口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数据使用证明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ExecutionReceipt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证明谁、基于什么合约、调用了什么版本、得到什么 hash</w:t>
            </w:r>
          </w:p>
        </w:tc>
      </w:tr>
    </w:tbl>
    <w:p/>
    <w:p>
      <w:pPr>
        <w:spacing w:after="100"/>
      </w:pPr>
      <w:r>
        <w:rPr>
          <w:rFonts w:ascii="Arial Unicode MS" w:hAnsi="Arial Unicode MS" w:eastAsia="Arial Unicode MS"/>
          <w:sz w:val="20"/>
        </w:rPr>
        <w:t>因此，本方案可以利用“数据元件”概念，但不应把数据元件仅理解为“物化宽表”或“加工后数据包”。更有价值的表达是：</w:t>
      </w:r>
    </w:p>
    <w:p>
      <w:pPr>
        <w:spacing w:after="160"/>
        <w:ind w:left="360"/>
      </w:pPr>
      <w:r>
        <w:rPr>
          <w:rFonts w:ascii="Arial Unicode MS" w:hAnsi="Arial Unicode MS" w:eastAsia="Arial Unicode MS"/>
          <w:b/>
          <w:color w:val="284866"/>
          <w:sz w:val="20"/>
        </w:rPr>
        <w:t>动态本体中的对象、属性、关系和动作，是面向 Agent 可执行的数据元件；Product OSDK 是把这些数据元件封装为可交易、可授权、可调用的数据产品接口。</w:t>
      </w:r>
    </w:p>
    <w:p>
      <w:pPr>
        <w:pStyle w:val="Heading1"/>
      </w:pPr>
      <w:r>
        <w:t>5. 当前方案与可信数据空间标准的映射</w:t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图 1：由 Mermaid 图块渲染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317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17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映射关系如下：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可信数据空间标准组件</w:t>
            </w:r>
          </w:p>
        </w:tc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当前 Demo 已实现/可承接部分</w:t>
            </w:r>
          </w:p>
        </w:tc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当前缺口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服务平台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GatewayControlPlane、产品目录、Entitlement 创建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缺少统一身份、连接器注册、空间管理、合约协商、计量计费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接入连接器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Provider Runtime 可视为提供方连接器中的使用控制/计算执行模块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缺少标准连接器协议、Connector 注册、运行监测、能力适配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数字合约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Entitlement 表达产品、用途、Provider、期限、配额、输出粒度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缺少正式电子签名、合同协商、ODRL/DSP 策略映射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使用控制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Gateway preflight、Runtime consume、撤销后拒绝、输出过滤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缺少细粒度策略语言、持续控制、异常终止、查询预算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数据产品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Product Manifest、Product Schema、Generated OSDK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缺少国家/行业目录登记、产品唯一标识、价格、权益分配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数据计算环境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Provider Runtime 本地执行产品动作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缺少沙箱、TEE/MPC、资源隔离、远程证明、真实数据源权限隔离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履约证明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ExecutionReceipt、input/output hash、Ed25519 签名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缺少持久化、公钥体系、时间戳、第三方存证、监管采信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数据服务方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Agent、OSDK Compiler、Gateway 可作为数据服务能力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缺少服务方接入、服务目录、SLA、运营流程</w:t>
            </w:r>
          </w:p>
        </w:tc>
      </w:tr>
    </w:tbl>
    <w:p/>
    <w:p>
      <w:pPr>
        <w:spacing w:after="100"/>
      </w:pPr>
      <w:r>
        <w:rPr>
          <w:rFonts w:ascii="Arial Unicode MS" w:hAnsi="Arial Unicode MS" w:eastAsia="Arial Unicode MS"/>
          <w:sz w:val="20"/>
        </w:rPr>
        <w:t>判断：当前 Demo 与可信数据空间标准是兼容关系。它实现的是标准中“数据产品安全计算、使用控制、履约证明、数据服务方能力”的一段关键执行链，而不是完整可信数据空间服务平台。</w:t>
      </w:r>
    </w:p>
    <w:p>
      <w:pPr>
        <w:pStyle w:val="Heading1"/>
      </w:pPr>
      <w:r>
        <w:t>6. 是否存在冲突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不存在根本冲突，但有 4 个边界需要在产品叙事和后续工程中处理清楚。</w:t>
      </w:r>
    </w:p>
    <w:p>
      <w:pPr>
        <w:pStyle w:val="Heading2"/>
      </w:pPr>
      <w:r>
        <w:t>6.1 OSDK 不是连接器标准的替代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可信数据空间标准强调接入连接器及其接口。OSDK 是应用/Agent 调用数据产品的开发接口，不应被表述为替代连接器。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更合理的定位是：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Runtime 是连接器内部或连接器旁路的受控执行环境。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 是服务平台或空间内可信路由/使用控制模块。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Product OSDK 是数据使用方连接器或 Agent workload 调用数据产品的 client SDK。</w:t>
      </w:r>
    </w:p>
    <w:p>
      <w:pPr>
        <w:pStyle w:val="Heading2"/>
      </w:pPr>
      <w:r>
        <w:t>6.2 Entitlement 不是完整数字合约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Entitlement 已包含产品、用途、Provider、期限、配额、输出粒度，但它不是正式数字合约。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生产中需要：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合同协商流程。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合同双方电子签名。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合同防篡改存储。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ODRL 或等价策略语言。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合同解除、撤销、备案。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合同和执行凭证的关联。</w:t>
      </w:r>
    </w:p>
    <w:p>
      <w:pPr>
        <w:pStyle w:val="Heading2"/>
      </w:pPr>
      <w:r>
        <w:t>6.3 Receipt 不是完整存证审计系统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Receipt 可以证明单次调用的输入输出 hash 和 Provider 签名，但还不是可信数据空间要求的完整日志存证与合规审计。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生产中需要：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长期身份和公钥管理。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KMS/HSM 或等价密钥保护。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防篡改事件存储。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时间戳服务。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跨重启可验证。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审计查询和监管报送接口。</w:t>
      </w:r>
    </w:p>
    <w:p>
      <w:pPr>
        <w:pStyle w:val="Heading2"/>
      </w:pPr>
      <w:r>
        <w:t>6.4 字段不暴露不等于隐私安全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的分级编译可以让原始字段不出现在 OSDK 和输出结果里，但隐私泄露还可能来自推断攻击、重复查询、低样本聚合、模型反演等。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生产中应按场景引入：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最小群体阈值。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查询预算。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结果扰动或差分隐私。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输出审核。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TEE、MPC、联邦学习、密态计算或数据沙箱。</w:t>
      </w:r>
    </w:p>
    <w:p>
      <w:pPr>
        <w:pStyle w:val="Heading1"/>
      </w:pPr>
      <w:r>
        <w:t>7. 当前 Demo 已验证的技术闭环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当前最新代码已验证以下路径：</w:t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图 2：由 Mermaid 图块渲染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615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6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已验证能力：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动态本体到产品合同：DOIR、字段分级、产品投影编译为 Product Manifest、Schema、MCP/OpenAPI 和 Python OSDK。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OSDK 远程调用：生成的 SDK 不依赖内部 Runtime，而是经 ProviderRuntimeClient 调 Gateway。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多 Provider fan-out：一次 OSDK 调用携带多个 Provider binding，Gateway 并发调用多个 Runtime。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Gateway 不持有数据：Gateway 只做身份、合同、授权、路由和响应关联。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Provider Runtime 本地计算：每个 Runtime 只处理自身 provider scope。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授权控制：Entitlement 支持用途、期限、Provider、配额、撤销。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输出边界：产品结果不返回原始用电明细、缴费流水、管线精确坐标等敏感数据。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执行凭证：Provider 返回带 input/output hash、产品版本、Runtime 版本和 Ed25519 签名的 Receipt。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部分失败：某 Provider 不可用时，Gateway 返回 partial，成功 Provider 的结果和凭证保留。</w:t>
      </w:r>
    </w:p>
    <w:p>
      <w:pPr>
        <w:pStyle w:val="Heading1"/>
      </w:pPr>
      <w:r>
        <w:t>8. Demo 场景分析：问题、解决方式与价值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不是一个单场景页面，而是用四类场景证明同一套机制的不同价值面：用电征信证明多 Provider 数据产品交易，长春开挖证明敏感空间数据可用不可见，动态本体运维证明分类分级驱动接口变化，远程 OSDK 部署证明客户侧 Agent workload 可以通过可信网关访问 Provider Runtime。</w:t>
      </w:r>
    </w:p>
    <w:p>
      <w:pPr>
        <w:pStyle w:val="Heading2"/>
      </w:pPr>
      <w:r>
        <w:t>8.1 企业用电征信可信数据产品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业务问题：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银行需要更多非传统征信特征判断中小企业经营稳定性，例如用电覆盖月数、用电波动、缴费逾期区间。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国家电网、综合能源等 Provider 的底层数据结构不同，银行不应逐个对接表结构和接口。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用电明细、缴费流水、客户名称等可能涉及敏感经营信息，Provider 不愿输出原始数据。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银行需要知道结果来自哪个 Provider、基于什么授权、哪一版产品和 Runtime 执行，方便审计和风控解释。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的解决方式：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将两个异构 Provider 映射到统一的 enterprise-energy-credit 产品合同。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生成 EnterpriseEnergyCreditClient，银行侧只调用 compute_credit_features。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 请求中携带多个 ProviderBinding(provider_id, entitlement_id)，不携带 Provider Runtime 地址。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 对每个 Provider 分别校验 Entitlement，并 fan-out 到 grid-runtime 和 integrated-energy-runtime。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Runtime 在本地计算用电稳定性、覆盖月数、逾期区间、质量摘要和信用特征，不返回原始用电/缴费明细。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 返回逐 Provider 的结果和 Receipt，银行应用在自己侧决定权重、最低来源数、缺失来源降级和最终评分。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证明“同一个数据产品动作可以跨多个异构数据域执行”。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把银行应用从“对接多个 Provider API/表结构”降为“调用一个 typed OSDK 方法”。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 不获取银行最终风控模型，Provider 不输出原始数据，双方边界清晰。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Receipt 让数据交易从“拿到一个分数”升级为“拿到可验证的履约证据”。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当前存在的问题：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数据仍是合成 fixture，没有连接真实电力、账单或缴费系统。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mapping 目前主要证明字段绑定和语义映射，还没有驱动真实 SQL/DuckDB/API 查询。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Entitlement、Policy、Audit 仍是内存态，不具备跨重启、跨实例和并发一致性。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信用特征计算是 Demo 规则，不是银行生产风控模型，也没有坏账标签验证。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隐私保护目前主要依靠输出裁剪，没有实现重复查询预算、最小样本阈值或推断泄露防护。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后续改进：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两个 Provider 分别接入不同物理 schema 的 SQLite/DuckDB 或真实 API，证明异构接入。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 Provider conformance test，校验同一产品合同下各 Provider 输出结构、质量指标和时间窗口径一致。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将 Entitlement、Receipt、产品版本和 Provider 公钥持久化。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增加银行侧示例 Agent：自动发现产品、申请授权、调用两个 Provider、处理 partial、验签 Receipt、输出风控解释。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增加计量计费事件，把每次 Provider 成功调用与交易结算挂钩。</w:t>
      </w:r>
    </w:p>
    <w:p>
      <w:pPr>
        <w:pStyle w:val="Heading2"/>
      </w:pPr>
      <w:r>
        <w:t>8.2 长春城市生命线开挖风险产品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业务问题：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城市管线精确坐标、拓扑和资产标识通常属于高敏感或核心数据，但施工方需要知道开挖风险。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传统数据交付方式要么泄露精确坐标，要么只能给静态审批结论，难以支撑 Agent 自动化规划和多次方案评估。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分类分级一旦变化，应用接口也应同步收缩，否则历史 API 很容易继续暴露敏感能力。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的解决方式：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将 PipelineSegment、ExcavationProject、RiskAssessment 等对象组织为长春场景动态本体。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产品动作 assess_excavation_risk 接收开挖范围、深度、施工方式、项目 ID。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Runtime 在数据域内使用管线几何、保护规则、历史隐患和监测摘要进行相交、缓冲、距离与规则评分。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输出只包含风险等级、影响资产类型、影响段数、建议和质量摘要，不输出精确坐标、管段 ID 或完整拓扑。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动态本体运维中演示“管线精确坐标升级为核心数据”后重新编译，坐标读取接口消失，但风险评估动作仍可在 Provider 域内使用坐标计算。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证明“数据可用不可见”不只适用于表格，也适用于 GIS 和城市治理数据。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证明分类分级不是写在 PPT 里的制度，而是可以进入编译器，直接改变 OSDK 暴露面。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让施工方 Agent 可以自动评估多个施工方案，而不直接持有核心管线坐标。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给城市生命线、交通、能源、水务等场景提供可复用的数据服务产品模式。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当前存在的问题：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GIS 计算是简化实现，未接 PostGIS、GeoPackage、坐标系转换或真实空间索引。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重复小范围查询可能反推出管线位置，当前尚无空间隐私预算、最小面积约束或模糊化策略。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风险规则仍是 Demo 规则，缺少专家审批、规则版本、事故样本校验和责任边界。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施工项目审批、监管角色、现场反馈闭环没有完整实现。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后续改进：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接入 GeoPackage/PostGIS adapter，支持真实坐标系、空间索引和拓扑质量检查。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加入空间隐私控制：最小查询面积、查询频率限制、结果泛化、风险网格化、敏感区域二次审批。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将规则集版本写入 Product Manifest 和 Receipt，支持事后追责。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增加施工方 Agent 和监管方 Agent：前者生成方案并申请评估，后者审批高风险调用和留存履约证明。</w:t>
      </w:r>
    </w:p>
    <w:p>
      <w:pPr>
        <w:pStyle w:val="Heading2"/>
      </w:pPr>
      <w:r>
        <w:t>8.3 动态本体运维与数据产品编译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业务问题：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传统数据目录或数据中台 API 往往是静态接口，字段分级、语义口径、产品范围变化后，很难自动反映到 SDK 和 Agent 工具面。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数据结构会变化，应用接口也会演进，如果没有本体版本和兼容性判断，数据产品很容易变成一次性定制项目。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Agent 需要机器可读的能力描述，否则只能靠提示词猜接口、猜字段、猜约束。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的解决方式：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用 DOIR 描述 SourceDataset、ObjectType、PropertyType、LinkType、ActionType、ProductProjection、RuntimeBinding。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Product Compiler 从 DOIR、字段分级和产品定义生成 Product Manifest、Schema、MCP Tool、OpenAPI 和 Python OSDK。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 Generator 根据 action input schema 生成 typed 方法签名、Pydantic 输入输出模型和 Provider Runtime Client。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运维视图演示分类分级变化后重新编译，接口暴露面同步收缩。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把“数据治理结果”变成“可执行的软件合同”，而不是停留在目录和字段标签。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Agent 可以读取 OSDK/MCP 描述，知道能调用什么、需要什么授权、会返回什么。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接入新数据源时，只要通过 conformance test，就能复用已有产品动作和应用。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为数据运营 Agent 提供工作对象：本体映射、质量报告、兼容性报告、产品发布包、变更影响分析。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当前存在的问题：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Registry 仍是 Lite 版本，未实现生产级 diff、审批、回滚、发布历史和变更影响图。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DOIR 仍主要由 fixture seed 生成，不是从真实数据平台、文档和人工标注流程中持续维护。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编译器已从 hardcode 进步到 schema-driven，但类型系统、错误模型、语义版本规则还不完整。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前端运维视图是演示态，不是完整的本体建模和产品发布工作台。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后续改进：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建立持久化 DOIR Registry，加入版本树、breaking change 规则、审批流和发布流水线。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建设 Provider mapping IDE 或低代码映射台，支持从数据中台、数据库、API、文档自动生成候选映射。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 OSDK artifact 签名和包仓库发布，确保 Agent 使用的是被批准的产品版本。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增加数据运营 Agent：自动发现字段漂移、质量下降、映射失败和产品兼容性风险。</w:t>
      </w:r>
    </w:p>
    <w:p>
      <w:pPr>
        <w:pStyle w:val="Heading2"/>
      </w:pPr>
      <w:r>
        <w:t>8.4 远程 OSDK、可信网关与 Provider Runtime fan-out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业务问题：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客户可能要求 OSDK 在客户侧运行，也可能接受在我方沙箱运行，但两种情况下都不应直连 Provider 内网和数据库。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如果一个业务产品需要多个 Provider，客户不应分别维护每个 Provider 的地址、身份、错误处理和凭证格式。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数据空间未来可能接入联邦计算、隐私计算和多 Runtime 编排，需要一个清晰的信任边界。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的解决方式：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生成的 ProviderRuntimeClient 只调用 Gateway 的 /actions/execute。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 使用逻辑 Provider ID 和 Provider route，将请求 fan-out 到多个独立 Provider Runtime。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Runtime 只接受 Gateway 内部调用，校验 provider_id、产品版本、用途、policy decision 和内部凭据。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 返回 MultiProviderResult，保留每个 Provider 的 succeeded、denied、failed、结果和 Receipt。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 Docker Compose 已描述 gateway、grid-runtime、integrated-energy-runtime、changchun-runtime、legacy-demo、demo-console 的拆分拓扑。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证明客户侧 Agent workload、我方沙箱 workload、Provider Runtime 可以解耦部署。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 成为可信数据空间中的策略执行点和路由点，而不是数据计算点。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partial 语义使多 Provider 产品更接近真实生产网络：一个 Provider 故障不会抹掉其他 Provider 的履约结果。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为后续 TEE、MPC、联邦分析和跨空间互通保留扩展点。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当前存在的问题：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API key 和内部 Gateway key 是开发共享密钥，不是生产身份体系。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fan-out 使用同步 HTTP 和线程池，不适合长任务、高并发或需要人工审批的异步交易。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route 来自配置，不是注册发现、健康路由或跨空间目录解析。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没有 request idempotency、配额 reservation/commit、重试补偿和完整 observability。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后续改进：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引入 OIDC/mTLS workload identity、Provider 证书和密钥轮换。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将 /actions/execute 扩展为异步 Job API，支持排队、回调、事件通知和人工审批。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建设 Provider Registry 和健康探测，支持动态路由、灰度和故障隔离。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 OpenTelemetry trace、结构化审计日志和交易计量事件。</w:t>
      </w:r>
    </w:p>
    <w:p>
      <w:pPr>
        <w:pStyle w:val="Heading2"/>
      </w:pPr>
      <w:r>
        <w:t>8.5 Demo 程序运行截图与说明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以下截图来自当前本地运行的 Demo Console，用于说明报告中的机制不是静态概念图，而是已经在原型程序中形成了可交互的运行链路。</w:t>
      </w:r>
    </w:p>
    <w:p>
      <w:r>
        <w:br w:type="page"/>
      </w:r>
    </w:p>
    <w:p>
      <w:pPr>
        <w:keepNext/>
        <w:spacing w:after="100"/>
      </w:pPr>
      <w:r>
        <w:rPr>
          <w:rFonts w:ascii="Arial Unicode MS" w:hAnsi="Arial Unicode MS" w:eastAsia="Arial Unicode MS"/>
          <w:sz w:val="20"/>
        </w:rPr>
        <w:t>截图 1：Agent 价值闭环与企业用电征信工作台。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页面顶部展示 Agent 价值闭环，左侧是前端查询工作台和动态本体内容，右侧是实时执行情况区域。用户只选择企业并发起产品动作，不接触底层 SQL、连接串或 Provider 表结构。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141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1-power-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1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Agent 价值闭环与企业用电征信工作台</w:t>
      </w:r>
    </w:p>
    <w:p>
      <w:r>
        <w:br w:type="page"/>
      </w:r>
    </w:p>
    <w:p>
      <w:pPr>
        <w:keepNext/>
        <w:spacing w:after="100"/>
      </w:pPr>
      <w:r>
        <w:rPr>
          <w:rFonts w:ascii="Arial Unicode MS" w:hAnsi="Arial Unicode MS" w:eastAsia="Arial Unicode MS"/>
          <w:sz w:val="20"/>
        </w:rPr>
        <w:t>截图 2：企业用电征信执行链路。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点击“查询征信”后，右侧保留执行步骤，展示 Agent 接收意图、读取产品目录、申请授权、调用 Product OSDK、Provider Runtime 本地计算、返回结果和 Receipt 的全过程。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141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2-power-exec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1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企业用电征信执行链路</w:t>
      </w:r>
    </w:p>
    <w:p>
      <w:r>
        <w:br w:type="page"/>
      </w:r>
    </w:p>
    <w:p>
      <w:pPr>
        <w:keepNext/>
        <w:spacing w:after="100"/>
      </w:pPr>
      <w:r>
        <w:rPr>
          <w:rFonts w:ascii="Arial Unicode MS" w:hAnsi="Arial Unicode MS" w:eastAsia="Arial Unicode MS"/>
          <w:sz w:val="20"/>
        </w:rPr>
        <w:t>截图 3：长春开挖风险产品。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施工方只提交工程 ID、开挖深度和施工方式，Runtime 在长春数据域内使用管线坐标和规则进行风险评估，外部只得到风险等级、影响类型、建议和凭证，不暴露精确坐标。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141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6-changchun-ri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1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长春开挖风险产品</w:t>
      </w:r>
    </w:p>
    <w:p>
      <w:r>
        <w:br w:type="page"/>
      </w:r>
    </w:p>
    <w:p>
      <w:pPr>
        <w:keepNext/>
        <w:spacing w:after="100"/>
      </w:pPr>
      <w:r>
        <w:rPr>
          <w:rFonts w:ascii="Arial Unicode MS" w:hAnsi="Arial Unicode MS" w:eastAsia="Arial Unicode MS"/>
          <w:sz w:val="20"/>
        </w:rPr>
        <w:t>截图 4：动态本体运维。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该页面展示本体、产品投影、字段分类分级与 OSDK 生成结果。演示重点是：当分类分级变化后，Product Compiler 会重新生成产品接口，使 OSDK 暴露面随治理规则收缩。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141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3-ontology-o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1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动态本体运维</w:t>
      </w:r>
    </w:p>
    <w:p>
      <w:r>
        <w:br w:type="page"/>
      </w:r>
    </w:p>
    <w:p>
      <w:pPr>
        <w:keepNext/>
        <w:spacing w:after="100"/>
      </w:pPr>
      <w:r>
        <w:rPr>
          <w:rFonts w:ascii="Arial Unicode MS" w:hAnsi="Arial Unicode MS" w:eastAsia="Arial Unicode MS"/>
          <w:sz w:val="20"/>
        </w:rPr>
        <w:t>截图 5：远程 OSDK 部署视图。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该页面展示客户侧 OSDK workload、可信数据空间网关、我方 Product Runtime、Receipt 与联合计算扩展之间的信任边界，并给出实际调用代码和受控请求 envelope。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141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4-deployment-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1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远程 OSDK 部署视图</w:t>
      </w:r>
    </w:p>
    <w:p>
      <w:r>
        <w:br w:type="page"/>
      </w:r>
    </w:p>
    <w:p>
      <w:pPr>
        <w:keepNext/>
        <w:spacing w:after="100"/>
      </w:pPr>
      <w:r>
        <w:rPr>
          <w:rFonts w:ascii="Arial Unicode MS" w:hAnsi="Arial Unicode MS" w:eastAsia="Arial Unicode MS"/>
          <w:sz w:val="20"/>
        </w:rPr>
        <w:t>截图 6：远程 OSDK 经 Gateway 调用后的结果。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点击“模拟网关调用”后，页面展示 succeeded 网关状态、征信评分、Receipt 编号，以及右侧 Gateway 校验身份、产品契约、action 参数、授权和路由的执行明细。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141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5-gateway-resu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1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远程 OSDK 经 Gateway 调用后的结果</w:t>
      </w:r>
    </w:p>
    <w:p>
      <w:pPr>
        <w:pStyle w:val="Heading1"/>
      </w:pPr>
      <w:r>
        <w:t>9. 当前 Demo 的技术验证完整度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能力域</w:t>
            </w:r>
          </w:p>
        </w:tc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当前完整度</w:t>
            </w:r>
          </w:p>
        </w:tc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说明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概念验证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高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已从页面叙事推进到可运行代码闭环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OSDK 生成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中高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typed Python SDK、ProviderBinding、多 Provider result 已实现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Gateway fan-out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中高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HTTP 拆分、并发、部分失败、Provider routing 已实现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Provider Runtime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有本地计算与输出控制，但数据源仍是 fixture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Policy / Entitlement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语义正确但内存态，缺少合同生命周期和强策略语言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Receipt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签名和 hash 成立，但密钥、存储、时间戳、监管接口仍是演示级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动态本体 Registry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中低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有 Lite Registry 和编译输入，但不是生产 registry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真实数据接入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低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未接真实 SQL/GIS/API 数据源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可信运行环境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低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未实现沙箱、TEE、MPC、远程证明、资源隔离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数据交易运营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低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缺少目录登记、价格、结算、合同协商、履约争议处理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Agent 自动化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OSDK/MCP 调用链成立，但 Agent 规划、审批、人机协同和异步通知未完整产品化</w:t>
            </w:r>
          </w:p>
        </w:tc>
      </w:tr>
    </w:tbl>
    <w:p/>
    <w:p>
      <w:pPr>
        <w:spacing w:after="100"/>
      </w:pPr>
      <w:r>
        <w:rPr>
          <w:rFonts w:ascii="Arial Unicode MS" w:hAnsi="Arial Unicode MS" w:eastAsia="Arial Unicode MS"/>
          <w:sz w:val="20"/>
        </w:rPr>
        <w:t>整体判断：</w:t>
      </w:r>
    </w:p>
    <w:p>
      <w:pPr>
        <w:spacing w:after="160"/>
        <w:ind w:left="360"/>
      </w:pPr>
      <w:r>
        <w:rPr>
          <w:rFonts w:ascii="Arial Unicode MS" w:hAnsi="Arial Unicode MS" w:eastAsia="Arial Unicode MS"/>
          <w:b/>
          <w:color w:val="284866"/>
          <w:sz w:val="20"/>
        </w:rPr>
        <w:t>当前 Demo 已完整验证“Agent 通过 OSDK 自动调用可信数据产品”的主技术链路，但尚未完整验证“生产可信数据空间”的身份、合约、连接器、数据源、安全计算、存证审计和交易运营体系。</w:t>
      </w:r>
    </w:p>
    <w:p>
      <w:pPr>
        <w:pStyle w:val="Heading1"/>
      </w:pPr>
      <w:r>
        <w:t>10. 与数据中台的区别和协同关系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传统数据中台通常以企业内部数据治理为中心：采集、湖仓、建模、指标、标签、API、报表。它更擅长解决“企业内部如何管好和复用数据”。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可信数据空间和本方案关注的是跨主体流通：不同组织之间如何在不完全互信的情况下完成数据产品申请、授权、使用控制、执行和审计。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二者不是替代关系：</w:t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图 3：由 Mermaid 图块渲染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9572" cy="78638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9572" cy="786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关系判断：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数据中台可以是 Provider 侧的数据底座。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动态本体可以把中台中的表、指标、标签、文档、GIS、API 映射成数据元件。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Product Compiler 可以把数据元件封装成可信数据产品。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 可以让 Agent 和业务应用以稳定动作调用数据产品。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Gateway/Runtime/Receipt 可以保证调用符合合约并留下履约证明。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因此，本方案不是“再做一个数据中台”，而是让数据中台中已经治理好的数据能力，进入跨组织、可授权、可审计、Agent 可自动调用的数据交易网络。</w:t>
      </w:r>
    </w:p>
    <w:p>
      <w:pPr>
        <w:pStyle w:val="Heading1"/>
      </w:pPr>
      <w:r>
        <w:t>11. 类似公司与方案对标：竞争性与互补性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对标结论需要分层：有些方案与我们直接竞争，有些是应当兼容的基础设施，有些是可嵌入 Runtime 的隐私计算能力。不能把所有相邻方案都叫竞品，否则产品边界会发散；也不能忽视它们，因为客户可能已经采购或正在建设这些平台。</w:t>
      </w:r>
    </w:p>
    <w:p>
      <w:pPr>
        <w:pStyle w:val="Heading2"/>
      </w:pPr>
      <w:r>
        <w:t>11.1 竞争性总览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方案类别</w:t>
            </w:r>
          </w:p>
        </w:tc>
        <w:tc>
          <w:tcPr>
            <w:tcW w:type="dxa" w:w="203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代表方案</w:t>
            </w:r>
          </w:p>
        </w:tc>
        <w:tc>
          <w:tcPr>
            <w:tcW w:type="dxa" w:w="203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与我们是否竞争</w:t>
            </w:r>
          </w:p>
        </w:tc>
        <w:tc>
          <w:tcPr>
            <w:tcW w:type="dxa" w:w="203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竞争强度</w:t>
            </w:r>
          </w:p>
        </w:tc>
        <w:tc>
          <w:tcPr>
            <w:tcW w:type="dxa" w:w="203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推荐策略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联邦计算 / 数据留域 Gateway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Apheris Gateway、Ocean Compute-to-Data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是，尤其在“计算到数据侧执行”上直接重合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高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不争“数据不出域”首创，突出动态本体产品合同、typed OSDK、Agent 自动交易和逐 Provider Receipt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数据空间 Connector / 标准基础设施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Eclipse Dataspace Components、IDS Connector、Dataspace Protocol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如果我们做完整 Connector 平台则竞争；若只做 OSDK 执行层则互补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兼容 DSP/ODRL，把自己定位为数据空间内的可执行数据产品层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数据交易 / 数据空间运营平台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Dawex、国内数据交易所技术平台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在目录、合约、交易、结算上竞争；在服务型数据产品执行上互补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中高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避免重做市场和交易门户，优先提供 Agent/OSDK 执行、履约证明和 Provider conformance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Clean Room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AWS、Snowflake、Databricks、Decentriq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在多方受控分析上竞争；在异构 Provider 与业务 OSDK 上差异明显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强调跨平台、跨组织、业务动作、来源保留，而不是平台内 SQL/Notebook 分析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Ontology SDK / 企业语义层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Palantir Foundry OSDK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在“Ontology 到 typed SDK”上强竞争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高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定位为开放、多 Provider、可信数据空间兼容，不绑定单一 Foundry 平台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隐私计算平台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SecretFlow 隐语、华为云 TICS 等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若我们宣称隐私计算平台则竞争；作为 Runtime 能力则互补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把它们作为 Provider Runtime 内部计算插件，不重复造 MPC/TEE/FL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数据中台 / 云数据平台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华为云、中国电子云、阿里云、传统数据中台厂商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在数据治理、目录、API 服务上竞争；在跨主体 Agent 交易层上互补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将数据中台视为 Provider 侧底座，提供上层可信产品 OSDK 和交易执行链</w:t>
            </w:r>
          </w:p>
        </w:tc>
      </w:tr>
    </w:tbl>
    <w:p/>
    <w:p>
      <w:pPr>
        <w:pStyle w:val="Heading2"/>
      </w:pPr>
      <w:r>
        <w:t>11.2 Apheris Gateway：最接近的直接对手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Apheris Gateway 的公开架构是中心 Orchestrator 连接多个本地 Compute Gateway，数据保管方本地执行计算，原始数据不出域。它与当前 Demo 的 Gateway -&gt; Provider Runtime fan-out 拓扑非常接近。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都强调数据留在数据方环境。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都强调中心编排、本地执行、策略控制和审计。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都能服务需要跨机构协作的敏感数据分析。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Apheris 更偏数据科学、模型和 Compute Spec 执行；当前方案更偏面向业务应用和 Agent 的数据产品动作。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Apheris 的使用者通常仍需要理解任务、数据集、模型或计算规范；当前方案希望让 Agent 调用 compute_credit_features、assess_excavation_risk 这类业务动作。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当前方案强调本体、分类分级、产品投影共同编译 OSDK，使接口本身随治理规则变化。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当前方案保留逐 Provider 结果和 Receipt，让业务方自行聚合，不让 Gateway 固化银行风控逻辑。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判断：Apheris 是高竞争性对标。我们不能把“本地 Runtime + 中心 Gateway”作为差异点，必须把差异压在“动态本体产品合同 + Agent OSDK + 数据交易履约证明”上。</w:t>
      </w:r>
    </w:p>
    <w:p>
      <w:pPr>
        <w:pStyle w:val="Heading2"/>
      </w:pPr>
      <w:r>
        <w:t>11.3 Eclipse Dataspace Components、IDS Connector 与 Dataspace Protocol：标准基础设施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EDC、IDS Connector 和 Dataspace Protocol 关注 Connector、目录、身份、策略、合同协商、控制面/数据面分离和数据空间互操作。它们回答的是“数据空间怎么互联、怎么签合约、怎么传输或控制数据”。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如果我们试图做完整可信数据空间服务平台，就会与这些 Connector/协议实现竞争。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它们已经覆盖目录、合同、策略、身份和数据传输，是客户可能优先采购或采用的基础设施。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它们本身不解决“一个业务数据产品如何被 Agent 用 typed SDK 调用”。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它们偏协议与基础设施，当前方案偏业务动作执行、OSDK 生成、Runtime 内计算和 Receipt 回传。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我们可以把 Entitlement 映射到 ODRL/DSP 合同，把 Receipt 映射为履约证明上传。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判断：中等竞争、强互补。最佳策略不是重做 EDC/IDS，而是把当前方案设计成可挂接在这些 Connector 和合同协议之后的执行层。</w:t>
      </w:r>
    </w:p>
    <w:p>
      <w:pPr>
        <w:pStyle w:val="Heading2"/>
      </w:pPr>
      <w:r>
        <w:t>11.4 Clean Room 厂商：可用不可见的成熟竞品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AWS Clean Rooms、Snowflake Data Clean Rooms、Databricks Clean Rooms、Decentriq 等已经证明多方数据协作、受控分析、原始数据不直接共享有明确市场需求。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它们能解决很多“多方数据不出明细、只出结果”的场景。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云上客户可能优先使用已有 Clean Room，而不是引入新的可信数据产品 Runtime。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它们在安全、权限、审计、隔离和商业成熟度上明显领先当前 Demo。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Clean Room 多数围绕 SQL、模板、Notebook、ML 作业或平台内数据协作，不天然提供动态本体生成的业务 OSDK。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Clean Room 往往绑定特定云或数据平台；当前方案目标是跨异构 Provider Runtime。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Clean Room 更适合分析协作；当前方案更强调可交易、可授权、可被 Agent 编排的业务数据产品动作。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判断：中等竞争。对于广告、营销、金融联合分析，Clean Room 是强竞品；对于“多个地方数据方各自运行可认证业务产品动作，Agent 自动申请和调用”的场景，我们有差异化空间。</w:t>
      </w:r>
    </w:p>
    <w:p>
      <w:pPr>
        <w:pStyle w:val="Heading2"/>
      </w:pPr>
      <w:r>
        <w:t>11.5 Ocean Compute-to-Data：数据交易范式相近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Ocean Compute-to-Data 提出算法到数据侧执行，以计算访问替代数据下载。这与我们的“OSDK workload 经 Gateway 调 Provider Runtime”在理念上高度接近。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都把交易对象从原始数据下载转向受控计算。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都适合强调数据方保留控制权。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Ocean 更偏数据/算法资产市场和 Web3 数据交易机制。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当前方案更偏企业级可信数据空间、数字合约、Provider Runtime、业务 OSDK 和 Agent 自动化。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我们的产品动作由动态本体和分类分级编译，不是任意算法包到数据侧执行。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判断：概念竞争强，企业落地路径差异大。Ocean 证明路线可行，但不直接覆盖我们面向国内可信数据空间和 Agent 网络的产品形态。</w:t>
      </w:r>
    </w:p>
    <w:p>
      <w:pPr>
        <w:pStyle w:val="Heading2"/>
      </w:pPr>
      <w:r>
        <w:t>11.6 Dawex 与数据交易平台：市场与运营层竞争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Dawex 这类数据交换和数据空间平台覆盖目录、参与方、合同、交易、Connector、互操作和数据交换治理。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如果我们建设完整数据交易市场、目录、合约、结算和运营平台，会与 Dawex 或国内数据交易技术平台直接竞争。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这些平台在多方参与、交易流程、生态运营和合规流程上更成熟。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数据交易平台通常把重点放在数据资产上架、供需撮合和交付流程；当前方案把重点放在“合约签完后，Agent 如何可靠调用数据服务并取得履约证明”。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OSDK、动态本体编译和 Provider Runtime 可以成为数据交易平台中的服务型产品执行能力。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判断：中高竞争但可合作。建议不从完整交易市场切入，而从“服务型数据产品执行引擎 + Agent 自动交易工作流”切入，作为数据交易平台和可信数据空间的增强组件。</w:t>
      </w:r>
    </w:p>
    <w:p>
      <w:pPr>
        <w:pStyle w:val="Heading2"/>
      </w:pPr>
      <w:r>
        <w:t>11.7 Palantir OSDK：Ontology 到 typed SDK 的强对标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Palantir OSDK 是“Ontology 到 typed SDK”的最强概念对标。它证明开发者可以通过 SDK 调用本体对象、动作和函数，而不是直接访问表结构。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如果客户已采用 Foundry，Palantir OSDK 已经提供成熟的本体开发体验。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Palantir 在本体治理、权限、应用开发、工作流和企业集成上成熟度很高。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Palantir OSDK 主要依托 Foundry 平台和其内部治理模型。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当前方案目标是开放、可接多 Provider、可接可信数据空间 Connector、可把 OSDK workload 放到客户侧或我方沙箱。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当前方案强调跨组织数据交易、数字合约、Provider Runtime 和逐 Provider Receipt，而不是单一企业平台内应用开发。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判断：高竞争性、强启发性。我们的 OSDK 不能停留在“生成 client 类”，必须证明它服务的是跨组织可信数据产品交易网络，而不是复制 Foundry 应用开发体验。</w:t>
      </w:r>
    </w:p>
    <w:p>
      <w:pPr>
        <w:pStyle w:val="Heading2"/>
      </w:pPr>
      <w:r>
        <w:t>11.8 SecretFlow 隐语、华为云 TICS 等隐私计算平台：更适合作为 Runtime 能力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SecretFlow 隐语、华为云 TICS 等方案在隐私计算、联邦学习、安全多方计算、TEE、密态计算和数据流通技术上有明显积累。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如果我们宣称自己是隐私计算或联邦学习平台，就会直接竞争，并且当前 Demo 不占优势。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它们能在强隐私场景提供比当前 Demo 更强的计算安全保证。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当前方案不应该自建全部隐私计算能力，而应把它们作为 Provider Runtime 可调用的计算后端。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OSDK/Gateway/Receipt 解决的是产品合同、Agent 调用、交易履约和跨 Provider 编排，不是替代 MPC/TEE/FL。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对于企业用电征信和长春风险评估，部分动作可以先用本地 SQL/GIS 受控计算，强隐私场景再接入隐私计算。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判断：中等竞争、强互补。产品策略应明确“隐私计算可插拔”，避免把资源消耗在已有成熟团队深耕的底层密码计算。</w:t>
      </w:r>
    </w:p>
    <w:p>
      <w:pPr>
        <w:pStyle w:val="Heading2"/>
      </w:pPr>
      <w:r>
        <w:t>11.9 国内云厂商、数据中台和可信数据空间厂商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华为云、中国电子云、阿里云、运营商、地方数商和数据交易所技术平台，都在数据治理、数据空间、连接器、数据要素、隐私计算和行业平台上布局。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它们拥有客户、云资源、数据平台和合规交付能力。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如果我们做全栈可信数据空间平台，会面对强渠道和工程交付竞争。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它们可能很快补足 Agent、SDK 或自动化调用能力。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大厂平台通常重在基础设施、治理平台和项目交付，未必会把“Agent 自动数据交易 + 产品 OSDK + 逐 Provider Receipt”作为窄而深的产品突破口。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awiki.ai 可以从 Agent 网络和数据运营数字员工切入，做轻量、可嵌入、跨平台的服务层。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与云厂商合作时，可把其数据中台、隐私计算、连接器作为底层，把 OSDK 执行层作为上层增值。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判断：平台竞争强，但可以错位。不要一开始做“可信数据空间全平台”，应做“面向 Agent 的可信数据产品执行与运营层”。</w:t>
      </w:r>
    </w:p>
    <w:p>
      <w:pPr>
        <w:pStyle w:val="Heading2"/>
      </w:pPr>
      <w:r>
        <w:t>11.10 对标后的定位收敛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不能作为核心创新宣传的点：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数据不出域。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中心 Gateway 调本地 Runtime。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连接器、目录、数字合约、使用控制。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Clean Room 式可用不可见。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Ontology 到 SDK。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可以作为核心创新组合的点：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Policy-aware OSDK compiler：本体、分类分级、用途、产品投影共同决定 Agent 可调用接口。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Agent-native data product contract：数据产品不只是目录条目，而是可被 Agent 发现、申请、调用、验证的业务动作。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Provider-neutral fan-out：同一 OSDK 方法调用多个 Provider Runtime，结果保留来源和独立 Receipt。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Receipt as settlement evidence：执行凭证不仅用于审计，还可以成为计量计费、履约证明和争议处理依据。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Data operations agents：Provider 侧用 Agent 改进数据产品生产、质量治理、上架、授权审批和履约监测。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因此，我们与 Apheris、Palantir、Clean Room、Dawex 有明确竞争面，但竞争不是“同一功能完全重叠”。更合理的市场切口是：利用可信数据空间和数据中台已有基础设施，提供 Agent 时代的数据产品自动交易和可信执行层。</w:t>
      </w:r>
    </w:p>
    <w:p>
      <w:pPr>
        <w:pStyle w:val="Heading1"/>
      </w:pPr>
      <w:r>
        <w:t>12. Agent 自动化数据交易的产品创新点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可信数据空间标准中已有“数据产品申请、合约签订、控制策略下发、数据交付、履约证明”的流程。但流程通常面向门户、连接器和人工操作。Agent 时代的增量机会是把它自动化、可编排、可验证。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建议定义如下闭环：</w:t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图 4：由 Mermaid 图块渲染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48770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4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这里 Agent 的价值不是“替人点按钮”，而是：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自动读产品目录，发现可用数据产品。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自动判断需要哪些 Provider 和数据产品组合。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自动生成合规申请，带用途、数据主体、期限、输出粒度。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自动调用 OSDK，不接触 SQL、连接串和原始文件。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自动处理部分失败、重试、降级和补充申请。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自动验签 Receipt，把结果和证据交给业务系统。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自动驱动数据提供方侧的数据运营 Agent 改进质量、映射、上架、履约。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这与我们前面讨论的“数据交易服务数字员工部门”一致：数据提供方通常没有足够专人执行全流程，Agent 可以承担数据产品生产、质量检查、合同响应、履约监测和异常处理的协同工作。</w:t>
      </w:r>
    </w:p>
    <w:p>
      <w:pPr>
        <w:pStyle w:val="Heading1"/>
      </w:pPr>
      <w:r>
        <w:t>13. 对 awiki.ai 的结合方向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如果 awiki.ai 希望拓展智能体网络市场，本方案可以作为一个垂直产品方向：</w:t>
      </w:r>
    </w:p>
    <w:p>
      <w:pPr>
        <w:pStyle w:val="Heading2"/>
      </w:pPr>
      <w:r>
        <w:t>13.1 Agent 网络中的可信数据产品 Skill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将每个可信数据产品发布为 Agent Skill：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Skill 描述产品用途、输入输出、授权要求、价格、SLA、Receipt 校验方式。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Skill 内部绑定 Product OSDK。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Agent 不需要理解底层数据平台，只需理解可调用的数据产品动作。</w:t>
      </w:r>
    </w:p>
    <w:p>
      <w:pPr>
        <w:pStyle w:val="Heading2"/>
      </w:pPr>
      <w:r>
        <w:t>13.2 客户侧 Agent + 服务侧 Agent 协同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客户侧 Agent：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表达业务目标。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发现数据产品。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发起授权申请。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调用 OSDK。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验证 Receipt。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将结果写回业务流程。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服务侧 Agent：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辅助 Provider 上架数据产品。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检查数据质量。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维护动态本体映射。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处理授权审批。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监控履约和异常。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生成数据产品运营报告。</w:t>
      </w:r>
    </w:p>
    <w:p>
      <w:pPr>
        <w:pStyle w:val="Heading2"/>
      </w:pPr>
      <w:r>
        <w:t>13.3 异步通知与交易履约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数据交易很多不是同步 API 能完成的。应引入异步事件：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授权申请已提交。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需要人工审批。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合约已签署。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Runtime 作业已开始。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部分 Provider 超时。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Receipt 已生成。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计费事件已确认。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这会把 awiki.ai 的 Agent 网络从“对话和工具调用”推进到“跨组织数据交易工作流”。</w:t>
      </w:r>
    </w:p>
    <w:p>
      <w:pPr>
        <w:pStyle w:val="Heading1"/>
      </w:pPr>
      <w:r>
        <w:t>14. 后续是否只剩工程复杂度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结论要分层说。</w:t>
      </w:r>
    </w:p>
    <w:p>
      <w:pPr>
        <w:pStyle w:val="Heading2"/>
      </w:pPr>
      <w:r>
        <w:t>14.1 理论方向不存在明显不可实现风险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不存在明显理论不可实现风险，原因是：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数据留域、本地计算、中心编排已有 Apheris、Ocean、Clean Room、EDC 等成熟先例。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Ontology 到 typed SDK 已有 Palantir OSDK 先例。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数字合约、ODRL、Connector、数据空间协议已有 IDS/EDC/DSP 标准和实现。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隐私计算、TEE、MPC、联邦学习、数据沙箱已有成熟技术路线。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Receipt 的 hash、签名、存证、验签属于标准密码工程问题。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当前方案把这些能力组合到“Agent 可自动调用的数据产品 OSDK”上，没有违反现有技术边界。</w:t>
      </w:r>
    </w:p>
    <w:p>
      <w:pPr>
        <w:pStyle w:val="Heading2"/>
      </w:pPr>
      <w:r>
        <w:t>14.2 但不是普通 CRUD 工程量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后续不是“写几个接口就生产可用”，而是中高复杂度工程系统：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工程域</w:t>
            </w:r>
          </w:p>
        </w:tc>
        <w:tc>
          <w:tcPr>
            <w:tcW w:type="dxa" w:w="508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难点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真实数据 adapter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异构 schema、质量口径、权限边界、查询优化、GIS/文档/API 混合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策略系统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数字合约、ODRL、ABAC、用途控制、撤销传播、查询预算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身份体系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组织身份、Agent/workload 身份、mTLS/OIDC、证书轮换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运行隔离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容器沙箱、网络策略、资源限制、TEE/MPC 可选集成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凭证审计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KMS/HSM、时间戳、不可变日志、监管接口、长期验签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分布式执行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幂等、重试、超时、部分失败、异步任务、配额 reservation/commit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产品治理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本体版本、breaking change、Provider conformance、SDK 发布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数据交易运营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目录、定价、结算、分润、争议、人工审批、SLA</w:t>
            </w:r>
          </w:p>
        </w:tc>
      </w:tr>
    </w:tbl>
    <w:p/>
    <w:p>
      <w:pPr>
        <w:spacing w:after="100"/>
      </w:pPr>
      <w:r>
        <w:rPr>
          <w:rFonts w:ascii="Arial Unicode MS" w:hAnsi="Arial Unicode MS" w:eastAsia="Arial Unicode MS"/>
          <w:sz w:val="20"/>
        </w:rPr>
        <w:t>因此更准确的判断是：</w:t>
      </w:r>
    </w:p>
    <w:p>
      <w:pPr>
        <w:spacing w:after="160"/>
        <w:ind w:left="360"/>
      </w:pPr>
      <w:r>
        <w:rPr>
          <w:rFonts w:ascii="Arial Unicode MS" w:hAnsi="Arial Unicode MS" w:eastAsia="Arial Unicode MS"/>
          <w:b/>
          <w:color w:val="284866"/>
          <w:sz w:val="20"/>
        </w:rPr>
        <w:t>后续主要是可分解的工程、安全、合规和运营复杂度，不是理论技术路线不可实现风险。</w:t>
      </w:r>
    </w:p>
    <w:p>
      <w:pPr>
        <w:pStyle w:val="Heading2"/>
      </w:pPr>
      <w:r>
        <w:t>14.3 需要避免的错误判断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不能说：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“OSDK 本身很简单，所以项目没有门槛。”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“字段不暴露就等于隐私安全。”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“有 Receipt 就等于监管采信。”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“能跑 Demo 就等于可信数据空间生产可用。”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应该说：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 只是 Agent 友好的产品接口。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门槛在 OSDK 背后的动态本体编译、策略、Runtime、连接器、凭证和交易运营。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Demo 已验证核心路线，生产化需要系统工程。</w:t>
      </w:r>
    </w:p>
    <w:p>
      <w:pPr>
        <w:pStyle w:val="Heading1"/>
      </w:pPr>
      <w:r>
        <w:t>15. 推荐下一阶段实施路线</w:t>
      </w:r>
    </w:p>
    <w:p>
      <w:pPr>
        <w:pStyle w:val="Heading2"/>
      </w:pPr>
      <w:r>
        <w:t>Phase 1：可信数据空间兼容模型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目标：把现有概念映射到可信数据空间术语。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交付：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数据产品目录元数据：产品标识、Provider、用途、输入输出、价格、SLA。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Entitlement 到数字合约的映射。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Receipt 到履约证明的映射。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Connector / Gateway / Runtime 部署角色说明。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价值：让方案可被可信数据空间客户和标准团队理解。</w:t>
      </w:r>
    </w:p>
    <w:p>
      <w:pPr>
        <w:pStyle w:val="Heading2"/>
      </w:pPr>
      <w:r>
        <w:t>Phase 2：真实数据元件与动态本体 Registry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目标：让数据元件不再只是 fixture。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交付：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SQLite/DuckDB/GIS/REST adapter。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mapping conformance test。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DOIR Registry 持久化、版本 diff、回滚。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数据元件质量报告。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价值：证明可接真实异构 Provider，而不是只跑合成数据。</w:t>
      </w:r>
    </w:p>
    <w:p>
      <w:pPr>
        <w:pStyle w:val="Heading2"/>
      </w:pPr>
      <w:r>
        <w:t>Phase 3：生产级 Gateway 和 Policy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目标：把 Demo 网关变成可信边界。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交付：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OIDC/mTLS workload identity。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ODRL/ABAC 策略引擎。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Entitlement 持久化。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配额 reservation/commit。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异步 job、重试、部分失败语义。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价值：支撑真实跨主体调用。</w:t>
      </w:r>
    </w:p>
    <w:p>
      <w:pPr>
        <w:pStyle w:val="Heading2"/>
      </w:pPr>
      <w:r>
        <w:t>Phase 4：Receipt 与存证审计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目标：让执行证明可被第三方验证。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交付：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公钥注册。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KMS/HSM 密钥管理。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不可变审计日志。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时间戳服务。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Receipt verifier SDK。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价值：支撑交易履约、争议处理和监管审计。</w:t>
      </w:r>
    </w:p>
    <w:p>
      <w:pPr>
        <w:pStyle w:val="Heading2"/>
      </w:pPr>
      <w:r>
        <w:t>Phase 5：Agent 自动交易工作流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目标：让 awiki.ai 的 Agent 网络进入数据交易场景。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交付：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产品发现 Agent。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授权申请 Agent。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数据运营 Agent。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异步通知和人工审批。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 Skill 市场。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价值：形成与普通数据空间、数据交易平台和数据中台不同的 Agent 时代差异化入口。</w:t>
      </w:r>
    </w:p>
    <w:p>
      <w:pPr>
        <w:pStyle w:val="Heading1"/>
      </w:pPr>
      <w:r>
        <w:t>16. 最终判断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当前方案与可信数据空间标准一致，可以利用数据元件、数据产品、连接器、数字合约、使用控制和履约证明这些概念，不存在根本冲突。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真正的创新点不在“可信数据空间”四个字，也不在 OSDK 代码生成本身，而在：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用动态本体把异构数据资源组织成可执行数据元件。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用产品投影和分类分级把数据元件编译成可信数据产品。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用 Product OSDK/MCP 把数据产品暴露为 Agent 可调用动作。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用 Gateway 和 Provider Runtime 保证原始数据不出域、按合约执行。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用 Receipt 让每次调用可验证、可追溯、可结算。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用 Agent 网络自动化发现、申请、执行、验证和运营。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已经验证第 1 至第 5 点的最小技术闭环，第 6 点已有清晰产品方向但还需要继续实现。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因此，后续不存在明显“理论路线不可实现”的风险；主要风险是工程复杂度、生产安全、合规采信、生态接入和商业运营。只要下一阶段按可信数据空间标准补齐连接器、数字合约、真实数据 adapter、持久化审计、强身份和 Agent 工作流，本方案可以成为 awiki.ai 面向 Agent 时代数据交易市场的一个有差异化的可信数据服务产品方向。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